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34F9" w14:textId="77777777" w:rsidR="00073364" w:rsidRPr="00814790" w:rsidRDefault="00000000" w:rsidP="00814790">
      <w:pPr>
        <w:spacing w:before="240" w:after="240" w:line="480" w:lineRule="auto"/>
        <w:rPr>
          <w:b/>
          <w:sz w:val="24"/>
          <w:szCs w:val="24"/>
        </w:rPr>
      </w:pPr>
      <w:r w:rsidRPr="00814790">
        <w:rPr>
          <w:b/>
          <w:sz w:val="24"/>
          <w:szCs w:val="24"/>
        </w:rPr>
        <w:t>PREVALENCIA Y HALLAZGOS DEL ESTUDIO GENÉTICO AMPLIADO EN PACIENTES CON CÁNCER RENAL: EXPERIENCIA INICIAL DE UN CENTRO NACIONAL DE REFERENCIA EN CHILE.</w:t>
      </w:r>
    </w:p>
    <w:p w14:paraId="2119FEDD" w14:textId="77777777" w:rsidR="00073364" w:rsidRPr="00814790" w:rsidRDefault="00000000" w:rsidP="00814790">
      <w:pPr>
        <w:spacing w:before="240" w:after="240" w:line="480" w:lineRule="auto"/>
        <w:rPr>
          <w:b/>
          <w:sz w:val="24"/>
          <w:szCs w:val="24"/>
        </w:rPr>
      </w:pPr>
      <w:r w:rsidRPr="00814790">
        <w:rPr>
          <w:b/>
          <w:sz w:val="24"/>
          <w:szCs w:val="24"/>
        </w:rPr>
        <w:t xml:space="preserve">Resumen </w:t>
      </w:r>
    </w:p>
    <w:p w14:paraId="7D5325EB" w14:textId="77777777" w:rsidR="00073364" w:rsidRPr="00814790" w:rsidRDefault="00000000" w:rsidP="00814790">
      <w:pPr>
        <w:spacing w:before="240" w:after="240" w:line="480" w:lineRule="auto"/>
        <w:rPr>
          <w:sz w:val="24"/>
          <w:szCs w:val="24"/>
        </w:rPr>
      </w:pPr>
      <w:r w:rsidRPr="00814790">
        <w:rPr>
          <w:sz w:val="24"/>
          <w:szCs w:val="24"/>
        </w:rPr>
        <w:t>El cáncer renal (CR) puede asociarse a síndromes hereditarios en pacientes jóvenes, con tumores bilaterales o multifocales, o con antecedentes familiares. La identificación de mutaciones germinales tiene impacto pronóstico, terapéutico y en consejería genética. Guías internacionales recomiendan estudio genético (EG) en subgrupos de riesgo, pero en Chile no existen datos sobre su implementación ni rendimiento.</w:t>
      </w:r>
    </w:p>
    <w:p w14:paraId="79E2AD11" w14:textId="77777777" w:rsidR="00073364" w:rsidRPr="00814790" w:rsidRDefault="00000000" w:rsidP="00814790">
      <w:pPr>
        <w:spacing w:before="240" w:after="240" w:line="480" w:lineRule="auto"/>
        <w:rPr>
          <w:sz w:val="24"/>
          <w:szCs w:val="24"/>
        </w:rPr>
      </w:pPr>
      <w:r w:rsidRPr="00814790">
        <w:rPr>
          <w:sz w:val="24"/>
          <w:szCs w:val="24"/>
        </w:rPr>
        <w:t>Objetivo: Determinar la proporción de pacientes con CR que cumplen criterios para EG, evaluar la tasa de realización y describir los hallazgos moleculares en un centro nacional de referencia.</w:t>
      </w:r>
    </w:p>
    <w:p w14:paraId="08165965" w14:textId="77777777" w:rsidR="00073364" w:rsidRPr="00814790" w:rsidRDefault="00000000" w:rsidP="00814790">
      <w:pPr>
        <w:spacing w:before="240" w:after="240" w:line="480" w:lineRule="auto"/>
        <w:rPr>
          <w:sz w:val="24"/>
          <w:szCs w:val="24"/>
        </w:rPr>
      </w:pPr>
      <w:r w:rsidRPr="00814790">
        <w:rPr>
          <w:sz w:val="24"/>
          <w:szCs w:val="24"/>
        </w:rPr>
        <w:t>Métodos: Estudio retrospectivo de pacientes sometidos a cirugía por CR entre 2020 y 2025. Se aplicaron criterios NCCN: diagnóstico &lt;46 años, antecedente familiar, bilateralidad, multifocalidad o histología asociada a síndromes hereditarios. Se analizó la proporción de pacientes con indicación de EG, el acceso al estudio y los resultados obtenidos mediante panel genético ampliado.</w:t>
      </w:r>
    </w:p>
    <w:p w14:paraId="5C7020AD" w14:textId="77777777" w:rsidR="00073364" w:rsidRPr="00814790" w:rsidRDefault="00000000" w:rsidP="00814790">
      <w:pPr>
        <w:spacing w:before="240" w:after="240" w:line="480" w:lineRule="auto"/>
        <w:rPr>
          <w:sz w:val="24"/>
          <w:szCs w:val="24"/>
        </w:rPr>
      </w:pPr>
      <w:r w:rsidRPr="00814790">
        <w:rPr>
          <w:sz w:val="24"/>
          <w:szCs w:val="24"/>
        </w:rPr>
        <w:t xml:space="preserve">Resultados: De 357 pacientes intervenidos, 65 (18,2%) cumplieron criterios clínicos para EG. La principal indicación fue edad temprana (80%), seguida de antecedente familiar (20%) y enfermedad bilateral o multifocal (12,3%). Solo 14 pacientes (20%) accedieron al estudio. Entre ellos se identificaron mutaciones patogénicas en dos </w:t>
      </w:r>
      <w:r w:rsidRPr="00814790">
        <w:rPr>
          <w:sz w:val="24"/>
          <w:szCs w:val="24"/>
        </w:rPr>
        <w:lastRenderedPageBreak/>
        <w:t>casos (14%) correspondientes a los genes BRCA1 y MITF; seis variantes de significado incierto (46,1%) y seis estudios negativos (38,5%).</w:t>
      </w:r>
    </w:p>
    <w:p w14:paraId="54A27466" w14:textId="77777777" w:rsidR="00073364" w:rsidRPr="00814790" w:rsidRDefault="00000000" w:rsidP="00814790">
      <w:pPr>
        <w:spacing w:before="240" w:after="240" w:line="480" w:lineRule="auto"/>
        <w:rPr>
          <w:sz w:val="24"/>
          <w:szCs w:val="24"/>
        </w:rPr>
      </w:pPr>
      <w:r w:rsidRPr="00814790">
        <w:rPr>
          <w:sz w:val="24"/>
          <w:szCs w:val="24"/>
        </w:rPr>
        <w:t>Conclusión: Uno de cada cinco pacientes con CR presenta criterios para estudio genético, pero solo una fracción accede efectivamente al análisis. La detección de mutaciones con implicancias clínicas destaca la necesidad de mejorar la cobertura genética y avanzar hacia la incorporación de medicina de precisión en el manejo del CR en Chile</w:t>
      </w:r>
    </w:p>
    <w:p w14:paraId="775847F1" w14:textId="77777777" w:rsidR="00073364" w:rsidRPr="00814790" w:rsidRDefault="00000000" w:rsidP="00814790">
      <w:pPr>
        <w:spacing w:before="240" w:after="240" w:line="480" w:lineRule="auto"/>
        <w:rPr>
          <w:sz w:val="24"/>
          <w:szCs w:val="24"/>
        </w:rPr>
      </w:pPr>
      <w:r w:rsidRPr="00814790">
        <w:rPr>
          <w:b/>
          <w:sz w:val="24"/>
          <w:szCs w:val="24"/>
        </w:rPr>
        <w:t>Palabras Clave</w:t>
      </w:r>
      <w:r w:rsidRPr="00814790">
        <w:rPr>
          <w:sz w:val="24"/>
          <w:szCs w:val="24"/>
        </w:rPr>
        <w:t>: Cáncer renal, Estudio genético, Medicina precisión, Chile, Cáncer renal hereditario</w:t>
      </w:r>
    </w:p>
    <w:p w14:paraId="10CCCF0E" w14:textId="77777777" w:rsidR="00073364" w:rsidRPr="00814790" w:rsidRDefault="00073364" w:rsidP="00814790">
      <w:pPr>
        <w:spacing w:before="240" w:after="240" w:line="480" w:lineRule="auto"/>
        <w:rPr>
          <w:sz w:val="24"/>
          <w:szCs w:val="24"/>
        </w:rPr>
      </w:pPr>
    </w:p>
    <w:p w14:paraId="1C301225" w14:textId="77777777" w:rsidR="00073364" w:rsidRPr="00814790" w:rsidRDefault="00073364" w:rsidP="00814790">
      <w:pPr>
        <w:spacing w:before="240" w:after="240" w:line="480" w:lineRule="auto"/>
        <w:rPr>
          <w:sz w:val="24"/>
          <w:szCs w:val="24"/>
        </w:rPr>
      </w:pPr>
    </w:p>
    <w:p w14:paraId="7B34E8E9" w14:textId="77777777" w:rsidR="00073364" w:rsidRPr="00814790" w:rsidRDefault="00000000" w:rsidP="00814790">
      <w:pPr>
        <w:spacing w:before="240" w:after="240" w:line="480" w:lineRule="auto"/>
        <w:rPr>
          <w:b/>
          <w:sz w:val="24"/>
          <w:szCs w:val="24"/>
        </w:rPr>
      </w:pPr>
      <w:r w:rsidRPr="00814790">
        <w:rPr>
          <w:b/>
          <w:sz w:val="24"/>
          <w:szCs w:val="24"/>
        </w:rPr>
        <w:t>Abstract</w:t>
      </w:r>
    </w:p>
    <w:p w14:paraId="37D819D2" w14:textId="77777777" w:rsidR="00073364" w:rsidRPr="00814790" w:rsidRDefault="00000000" w:rsidP="00814790">
      <w:pPr>
        <w:spacing w:before="240" w:after="240" w:line="480" w:lineRule="auto"/>
        <w:rPr>
          <w:sz w:val="24"/>
          <w:szCs w:val="24"/>
        </w:rPr>
      </w:pPr>
      <w:r w:rsidRPr="00814790">
        <w:rPr>
          <w:sz w:val="24"/>
          <w:szCs w:val="24"/>
        </w:rPr>
        <w:t>Renal cancer (RC) may be associated with hereditary syndromes in young patients, those presenting with bilateral or multifocal tumors, or with a family history of the disease. Identification of germline mutations has prognostic and therapeutic implications, as well as relevance for genetic counseling. International guidelines recommend genetic testing (GT) in defined risk groups; however, no data are available regarding its implementation or diagnostic yield in Chile.</w:t>
      </w:r>
    </w:p>
    <w:p w14:paraId="78636BC5" w14:textId="77777777" w:rsidR="00073364" w:rsidRPr="00814790" w:rsidRDefault="00000000" w:rsidP="00814790">
      <w:pPr>
        <w:spacing w:before="240" w:after="240" w:line="480" w:lineRule="auto"/>
        <w:rPr>
          <w:sz w:val="24"/>
          <w:szCs w:val="24"/>
        </w:rPr>
      </w:pPr>
      <w:r w:rsidRPr="00814790">
        <w:rPr>
          <w:b/>
          <w:sz w:val="24"/>
          <w:szCs w:val="24"/>
        </w:rPr>
        <w:t>Objective:</w:t>
      </w:r>
      <w:r w:rsidRPr="00814790">
        <w:rPr>
          <w:sz w:val="24"/>
          <w:szCs w:val="24"/>
        </w:rPr>
        <w:t xml:space="preserve"> To determine the proportion of patients with RC who meet clinical criteria for GT, evaluate testing uptake, and describe molecular findings in a national reference center.</w:t>
      </w:r>
    </w:p>
    <w:p w14:paraId="192A66A5" w14:textId="77777777" w:rsidR="00073364" w:rsidRPr="00814790" w:rsidRDefault="00000000" w:rsidP="00814790">
      <w:pPr>
        <w:spacing w:before="240" w:after="240" w:line="480" w:lineRule="auto"/>
        <w:rPr>
          <w:sz w:val="24"/>
          <w:szCs w:val="24"/>
        </w:rPr>
      </w:pPr>
      <w:r w:rsidRPr="00814790">
        <w:rPr>
          <w:b/>
          <w:sz w:val="24"/>
          <w:szCs w:val="24"/>
        </w:rPr>
        <w:lastRenderedPageBreak/>
        <w:t>Methods:</w:t>
      </w:r>
      <w:r w:rsidRPr="00814790">
        <w:rPr>
          <w:sz w:val="24"/>
          <w:szCs w:val="24"/>
        </w:rPr>
        <w:t xml:space="preserve"> A retrospective study was conducted including patients who underwent surgery for RC between 2020 and 2025. NCCN criteria were applied: diagnosis &lt; 46, family history of RC, bilateral or multifocal tumors, histologic subtypes associated with hereditary syndromes. The proportion of patients who met criteria, those who underwent GT, and results obtained using an expanded oncologic gene panel were analyzed.</w:t>
      </w:r>
    </w:p>
    <w:p w14:paraId="0AB08802" w14:textId="77777777" w:rsidR="00073364" w:rsidRPr="00814790" w:rsidRDefault="00000000" w:rsidP="00814790">
      <w:pPr>
        <w:spacing w:before="240" w:after="240" w:line="480" w:lineRule="auto"/>
        <w:rPr>
          <w:sz w:val="24"/>
          <w:szCs w:val="24"/>
        </w:rPr>
      </w:pPr>
      <w:r w:rsidRPr="00814790">
        <w:rPr>
          <w:b/>
          <w:sz w:val="24"/>
          <w:szCs w:val="24"/>
        </w:rPr>
        <w:t>Results:</w:t>
      </w:r>
      <w:r w:rsidRPr="00814790">
        <w:rPr>
          <w:sz w:val="24"/>
          <w:szCs w:val="24"/>
        </w:rPr>
        <w:t xml:space="preserve">  357 patients included, 65 (18.2%) met criteria for GT. The most common indication was age under 46 years (80%), followed by family history (20%) and bilateral or multifocal disease (12.3%). 14 patients (20%) underwent GT. Among them, two pathogenic germline mutations (14%) were detected in the BRCA1 and MITF genes; six patients (46.1%) presented variants of uncertain significance, and six (38.5%) had negative results.</w:t>
      </w:r>
    </w:p>
    <w:p w14:paraId="315E73D1" w14:textId="77777777" w:rsidR="00073364" w:rsidRPr="00814790" w:rsidRDefault="00000000" w:rsidP="00814790">
      <w:pPr>
        <w:spacing w:before="240" w:after="240" w:line="480" w:lineRule="auto"/>
        <w:rPr>
          <w:sz w:val="24"/>
          <w:szCs w:val="24"/>
        </w:rPr>
      </w:pPr>
      <w:r w:rsidRPr="00814790">
        <w:rPr>
          <w:b/>
          <w:sz w:val="24"/>
          <w:szCs w:val="24"/>
        </w:rPr>
        <w:t>Conclusion:</w:t>
      </w:r>
      <w:r w:rsidRPr="00814790">
        <w:rPr>
          <w:sz w:val="24"/>
          <w:szCs w:val="24"/>
        </w:rPr>
        <w:t xml:space="preserve"> Approximately one in five patients with RC met criteria for genetic testing, although only a minority completed testing. The detection of actionable germline mutations highlights the unmet need to expand access to GT and support the implementation of precision medicine strategies in the management of RC in Chile.</w:t>
      </w:r>
    </w:p>
    <w:p w14:paraId="0F8DF085" w14:textId="77777777" w:rsidR="00073364" w:rsidRPr="00814790" w:rsidRDefault="00073364" w:rsidP="00814790">
      <w:pPr>
        <w:spacing w:before="240" w:after="240" w:line="480" w:lineRule="auto"/>
        <w:rPr>
          <w:sz w:val="24"/>
          <w:szCs w:val="24"/>
        </w:rPr>
      </w:pPr>
    </w:p>
    <w:p w14:paraId="5350DEC1" w14:textId="77777777" w:rsidR="00073364" w:rsidRPr="00814790" w:rsidRDefault="00073364" w:rsidP="00814790">
      <w:pPr>
        <w:spacing w:before="240" w:after="240" w:line="480" w:lineRule="auto"/>
        <w:rPr>
          <w:sz w:val="24"/>
          <w:szCs w:val="24"/>
        </w:rPr>
      </w:pPr>
    </w:p>
    <w:p w14:paraId="607E740B" w14:textId="77777777" w:rsidR="00073364" w:rsidRPr="00814790" w:rsidRDefault="00073364" w:rsidP="00814790">
      <w:pPr>
        <w:spacing w:before="240" w:after="240" w:line="480" w:lineRule="auto"/>
        <w:rPr>
          <w:sz w:val="24"/>
          <w:szCs w:val="24"/>
        </w:rPr>
      </w:pPr>
    </w:p>
    <w:p w14:paraId="6E36B358" w14:textId="77777777" w:rsidR="00073364" w:rsidRPr="00814790" w:rsidRDefault="00073364" w:rsidP="00814790">
      <w:pPr>
        <w:spacing w:before="240" w:after="240" w:line="480" w:lineRule="auto"/>
        <w:rPr>
          <w:sz w:val="24"/>
          <w:szCs w:val="24"/>
        </w:rPr>
      </w:pPr>
    </w:p>
    <w:p w14:paraId="438B1FA5" w14:textId="77777777" w:rsidR="00073364" w:rsidRPr="00814790" w:rsidRDefault="00073364" w:rsidP="00814790">
      <w:pPr>
        <w:spacing w:before="240" w:after="240" w:line="480" w:lineRule="auto"/>
        <w:rPr>
          <w:sz w:val="24"/>
          <w:szCs w:val="24"/>
        </w:rPr>
      </w:pPr>
    </w:p>
    <w:p w14:paraId="4B49CD57" w14:textId="77777777" w:rsidR="00073364" w:rsidRPr="00814790" w:rsidRDefault="00073364" w:rsidP="00814790">
      <w:pPr>
        <w:spacing w:before="240" w:after="240" w:line="480" w:lineRule="auto"/>
        <w:rPr>
          <w:sz w:val="24"/>
          <w:szCs w:val="24"/>
        </w:rPr>
      </w:pPr>
    </w:p>
    <w:p w14:paraId="6957589F" w14:textId="77777777" w:rsidR="00073364" w:rsidRPr="00814790" w:rsidRDefault="00073364" w:rsidP="00814790">
      <w:pPr>
        <w:spacing w:before="240" w:after="240" w:line="480" w:lineRule="auto"/>
        <w:rPr>
          <w:sz w:val="24"/>
          <w:szCs w:val="24"/>
        </w:rPr>
      </w:pPr>
    </w:p>
    <w:p w14:paraId="56EFB9AE" w14:textId="77777777" w:rsidR="00073364" w:rsidRPr="00814790" w:rsidRDefault="00000000" w:rsidP="00814790">
      <w:pPr>
        <w:spacing w:before="240" w:after="240" w:line="480" w:lineRule="auto"/>
        <w:rPr>
          <w:b/>
          <w:sz w:val="24"/>
          <w:szCs w:val="24"/>
        </w:rPr>
      </w:pPr>
      <w:r w:rsidRPr="00814790">
        <w:rPr>
          <w:b/>
          <w:sz w:val="24"/>
          <w:szCs w:val="24"/>
        </w:rPr>
        <w:t>Introducción:</w:t>
      </w:r>
    </w:p>
    <w:p w14:paraId="45B333F5" w14:textId="77777777" w:rsidR="00073364" w:rsidRPr="00814790" w:rsidRDefault="00000000" w:rsidP="00814790">
      <w:pPr>
        <w:spacing w:before="240" w:after="240" w:line="480" w:lineRule="auto"/>
        <w:rPr>
          <w:sz w:val="24"/>
          <w:szCs w:val="24"/>
        </w:rPr>
      </w:pPr>
      <w:r w:rsidRPr="00814790">
        <w:rPr>
          <w:sz w:val="24"/>
          <w:szCs w:val="24"/>
        </w:rPr>
        <w:t>El cáncer renal (CR) representa aproximadamente el 2% de todas las neoplasias malignas diagnosticadas a nivel mundial, con una incidencia en aumento atribuida tanto a la detección incidental mediante imágenes como a la creciente prevalencia de factores de riesgo metabólicos y ambientales [1]. En Chile se diagnostican anualmente 1490 nuevos casos, lo que representa el 4,5% de los nuevos casos de cáncer diagnosticados anualmente y lo ubica en quinto lugar de incidencia global, evidenciando un constante aumento en su incidencia en los últimos años [2]. Si bien la mayoría de los casos son esporádicos, entre un 5% y 8% de los pacientes presentan una predisposición hereditaria asociada a mutaciones germinales patogénicas en genes de susceptibilidad tumoral [3,4]. El reconocimiento de esta base genética ha adquirido relevancia no solo por sus implicancias diagnósticas y pronósticas, sino también por su impacto en la selección terapéutica, seguimiento y en la consejería familiar.</w:t>
      </w:r>
    </w:p>
    <w:p w14:paraId="06DD1F7D" w14:textId="77777777" w:rsidR="00073364" w:rsidRPr="00814790" w:rsidRDefault="00000000" w:rsidP="00814790">
      <w:pPr>
        <w:spacing w:before="240" w:after="240" w:line="480" w:lineRule="auto"/>
        <w:rPr>
          <w:sz w:val="24"/>
          <w:szCs w:val="24"/>
        </w:rPr>
      </w:pPr>
      <w:r w:rsidRPr="00814790">
        <w:rPr>
          <w:rFonts w:eastAsia="Arial Unicode MS"/>
          <w:sz w:val="24"/>
          <w:szCs w:val="24"/>
        </w:rPr>
        <w:t xml:space="preserve">Los síndromes hereditarios clásicos asociados al cáncer renal y sus genes mutados incluyen la enfermedad de Von Hippel–Lindau (VHL), el síndrome de Birt–Hogg–Dubé (FLCN), la leiomiomatosis hereditaria con cáncer renal (FH), el carcinoma papilar hereditario tipo I (MET), y los síndromes relacionados con mutaciones en TSC1/2, SDHx, BAP1 y MITF [5–7]. No obstante, estudios recientes con secuenciación de paneles multigénicos han demostrado que una proporción considerable de pacientes con CR portan mutaciones germinales en genes no tradicionalmente asociados a esta neoplasia, como BRCA1/2, CHEK2, ATM, MLH1 </w:t>
      </w:r>
      <w:r w:rsidRPr="00814790">
        <w:rPr>
          <w:rFonts w:eastAsia="Arial Unicode MS"/>
          <w:sz w:val="24"/>
          <w:szCs w:val="24"/>
        </w:rPr>
        <w:lastRenderedPageBreak/>
        <w:t>y MUTYH [3,4,6,7]. Estas alteraciones, implicadas en mecanismos de reparación del ADN y predisposición a otros cánceres, amplían el espectro molecular del CR hereditario más allá de los síndromes clásicos. En esta línea, Carlo et al. describieron en pacientes con enfermedad avanzada mutaciones germinales en el 16% de los casos, incluyendo un 10% en genes no vinculados clásicamente al CR [4]. De manera concordante, Truong et al. identificaron variantes patogénicas o probablemente patogénicas en el 17,7% de pacientes con CR de inicio precoz (≤46 años), casi la mitad en genes no relacionados con síndromes renales conocidos [7]. En la cohorte de Nguyen et al., un 13% de los pacientes no seleccionados por antecedentes familiares presentaron mutaciones germinales, siendo CHEK2 y FLCN los genes más frecuentemente alterados [3]. Estos hallazgos se replican en distintas poblaciones; en China se reportó una frecuencia de mutaciones del 9,5% en pacientes con CR de inicio temprano, con participación relevante de BRCA1/2 [8].</w:t>
      </w:r>
    </w:p>
    <w:p w14:paraId="6C0DBDF2" w14:textId="77777777" w:rsidR="00073364" w:rsidRPr="00814790" w:rsidRDefault="00000000" w:rsidP="00814790">
      <w:pPr>
        <w:spacing w:before="240" w:after="240" w:line="480" w:lineRule="auto"/>
        <w:rPr>
          <w:sz w:val="24"/>
          <w:szCs w:val="24"/>
        </w:rPr>
      </w:pPr>
      <w:r w:rsidRPr="00814790">
        <w:rPr>
          <w:sz w:val="24"/>
          <w:szCs w:val="24"/>
        </w:rPr>
        <w:t xml:space="preserve">Más allá del valor diagnóstico, la identificación de variantes germinales tiene repercusiones clínicas directas: permite seleccionar terapias dirigidas (por ejemplo, inhibidores de HIF-2α en VHL o de MET en carcinoma papilar hereditario), diferir cirugías futuras según el tamaño del tumor, detectar tumores metacrónicos, hacer </w:t>
      </w:r>
      <w:r w:rsidRPr="00814790">
        <w:rPr>
          <w:i/>
          <w:sz w:val="24"/>
          <w:szCs w:val="24"/>
        </w:rPr>
        <w:t>screening</w:t>
      </w:r>
      <w:r w:rsidRPr="00814790">
        <w:rPr>
          <w:sz w:val="24"/>
          <w:szCs w:val="24"/>
        </w:rPr>
        <w:t xml:space="preserve"> de segundos primarios y ofrecer tamizaje a familiares en riesgo. Sin embargo, diversos estudios han demostrado una subutilización significativa de la evaluación genética. En una cohorte reciente, solo un 34% de los pacientes que cumplían criterios de la NCCN o AUA fueron derivados a asesoría genética, y menos de un cuarto completó el test [9]. Sin embargo, con el advenimiento de mejores y más accesibles técnicas de secuenciación, la comunidad científica sigue ampliando la indicación de estudio genético en cáncer renal. Las guías de la NCCN en la actualidad indican que el estudio genético puede ser apropiado en pacientes </w:t>
      </w:r>
      <w:r w:rsidRPr="00814790">
        <w:rPr>
          <w:sz w:val="24"/>
          <w:szCs w:val="24"/>
        </w:rPr>
        <w:lastRenderedPageBreak/>
        <w:t>con cáncer renal de inicio precoz (antes de los 46 años), tumores bilaterales o multifocales, antecedentes familiares de cáncer renal, o histologías específicas como los subtipos papilar o cromófobo [10].</w:t>
      </w:r>
    </w:p>
    <w:p w14:paraId="663CEE50" w14:textId="77777777" w:rsidR="00073364" w:rsidRPr="00814790" w:rsidRDefault="00000000" w:rsidP="00814790">
      <w:pPr>
        <w:spacing w:before="240" w:after="240" w:line="480" w:lineRule="auto"/>
        <w:rPr>
          <w:sz w:val="24"/>
          <w:szCs w:val="24"/>
        </w:rPr>
      </w:pPr>
      <w:r w:rsidRPr="00814790">
        <w:rPr>
          <w:sz w:val="24"/>
          <w:szCs w:val="24"/>
        </w:rPr>
        <w:t>A pesar de la creciente evidencia internacional, la prevalencia y las características de las mutaciones germinales en pacientes con cáncer renal no han sido reportadas en la población chilena y existen escasos reportes en población latinoamericana. Esta ausencia de datos locales restringe la comprensión de las posibles variaciones genéticas vinculadas a la diversidad étnica y ancestral de nuestra región, dificultando la implementación de estrategias de detección y asesoramiento genético adecuadas al contexto nacional, teniendo que basarnos en recomendaciones internacionales que no se encuentran adaptadas a nuestra realidad ni perfil filogenético.</w:t>
      </w:r>
    </w:p>
    <w:p w14:paraId="4A8F6793" w14:textId="77777777" w:rsidR="00073364" w:rsidRPr="00814790" w:rsidRDefault="00000000" w:rsidP="00814790">
      <w:pPr>
        <w:spacing w:before="240" w:after="240" w:line="480" w:lineRule="auto"/>
        <w:rPr>
          <w:sz w:val="24"/>
          <w:szCs w:val="24"/>
        </w:rPr>
      </w:pPr>
      <w:r w:rsidRPr="00814790">
        <w:rPr>
          <w:sz w:val="24"/>
          <w:szCs w:val="24"/>
        </w:rPr>
        <w:t>Con este propósito, se diseñó un estudio cuyo objetivo fue describir la prevalencia de pacientes con CR localizado que cumplen los criterios para un estudio genético, evaluar la proporción de estos pacientes que realmente se someten al estudio e identificar las mutaciones presentes.</w:t>
      </w:r>
    </w:p>
    <w:p w14:paraId="7A855D8C" w14:textId="77777777" w:rsidR="00073364" w:rsidRPr="00814790" w:rsidRDefault="00000000" w:rsidP="00814790">
      <w:pPr>
        <w:spacing w:before="240" w:after="240" w:line="480" w:lineRule="auto"/>
        <w:rPr>
          <w:sz w:val="24"/>
          <w:szCs w:val="24"/>
        </w:rPr>
      </w:pPr>
      <w:r w:rsidRPr="00814790">
        <w:rPr>
          <w:b/>
          <w:sz w:val="24"/>
          <w:szCs w:val="24"/>
        </w:rPr>
        <w:t>Materiales y métodos</w:t>
      </w:r>
      <w:r w:rsidRPr="00814790">
        <w:rPr>
          <w:b/>
          <w:sz w:val="24"/>
          <w:szCs w:val="24"/>
        </w:rPr>
        <w:br/>
      </w:r>
      <w:r w:rsidRPr="00814790">
        <w:rPr>
          <w:sz w:val="24"/>
          <w:szCs w:val="24"/>
        </w:rPr>
        <w:t xml:space="preserve"> Se realizó un análisis retrospectivo de una base de datos prospectiva de pacientes sometidos a cirugía por CR localizado en Clínica Alemana de Santiago, entre enero de 2020 y enero de 2025. Se incluyeron todos los pacientes con diagnóstico histológico confirmado de CR (de cualquier subtipo), sin evidencia de diseminación a distancia, registrados en el período de estudio.</w:t>
      </w:r>
      <w:r w:rsidRPr="00814790">
        <w:rPr>
          <w:sz w:val="24"/>
          <w:szCs w:val="24"/>
        </w:rPr>
        <w:br/>
        <w:t xml:space="preserve"> La indicación de estudio genético germinal se estableció según las guías NCCN para cáncer renal, las cuales recomiendan evaluación genética en pacientes con </w:t>
      </w:r>
      <w:r w:rsidRPr="00814790">
        <w:rPr>
          <w:sz w:val="24"/>
          <w:szCs w:val="24"/>
        </w:rPr>
        <w:lastRenderedPageBreak/>
        <w:t>inicio precoz (&lt;46 años), tumores bilaterales o multifocales, antecedente familiar de cáncer renal o histología compatible con formas hereditarias (como carcinoma papilar o cromófobo), así como en aquellos con manifestaciones clínicas sugerentes de un síndrome hereditario [10].</w:t>
      </w:r>
      <w:r w:rsidRPr="00814790">
        <w:rPr>
          <w:sz w:val="24"/>
          <w:szCs w:val="24"/>
        </w:rPr>
        <w:br/>
        <w:t xml:space="preserve"> La evaluación genética se inició con la derivación del paciente por parte del urólogo a consejería genética. Posteriormente, el estudio genético se llevó a cabo tras una decisión compartida entre el paciente y la consejera genética, luego de proporcionar información detallada sobre las implicaciones clínicas y familiares. Los estudios se efectuaron utilizando paneles de secuenciación masiva (NGS) de amplio espectro, entre ellos el Invitae Multi-Cancer Panel, que evalúa 70 genes relacionados con predisposición tumoral (incluyendo VHL, FH, FLCN, BAP1, MET, BRCA1, BRCA2, CHEK2, TP53, PTEN, TSC1/2, entre otros); el Panel Onco-Riesgo, que analiza más de 120 genes vinculados a síndromes hereditarios de cáncer; y el Panel Oncológico de la Clínica Universidad de los Andes, que estudia 170 genes asociados a susceptibilidad genética en neoplasias sólidas y hematológicas. Los análisis se realizaron en laboratorios acreditados bajo estándares internacionales de calidad.</w:t>
      </w:r>
      <w:r w:rsidRPr="00814790">
        <w:rPr>
          <w:sz w:val="24"/>
          <w:szCs w:val="24"/>
        </w:rPr>
        <w:br/>
        <w:t xml:space="preserve"> Se registraron variables demográficas, antecedentes familiares de cáncer, características tumorales (tipo histológico, bilateralidad, multifocalidad). Los resultados del estudio genético clasificaron las variantes como: patogénicas, de significado incierto (VUS) o benignas. Se determinó la proporción de pacientes con criterios de estudio genético, la tasa de acceso efectivo y la frecuencia de hallazgos moleculares.</w:t>
      </w:r>
      <w:r w:rsidRPr="00814790">
        <w:rPr>
          <w:sz w:val="24"/>
          <w:szCs w:val="24"/>
        </w:rPr>
        <w:br/>
        <w:t xml:space="preserve"> Las variables continuas se presentaron como mediana y rango intercuartílico (RIC), y se compararon mediante la prueba U de Mann–Whitney. Las variables categóricas se expresaron como número absoluto y porcentaje [n (%)], y se compararon </w:t>
      </w:r>
      <w:r w:rsidRPr="00814790">
        <w:rPr>
          <w:sz w:val="24"/>
          <w:szCs w:val="24"/>
        </w:rPr>
        <w:lastRenderedPageBreak/>
        <w:t>mediante chi-cuadrado o prueba exacta de Fisher, según correspondiera. El análisis estadístico se realizó utilizando SPSS® v29.0.0.</w:t>
      </w:r>
      <w:r w:rsidRPr="00814790">
        <w:rPr>
          <w:sz w:val="24"/>
          <w:szCs w:val="24"/>
        </w:rPr>
        <w:br/>
        <w:t xml:space="preserve"> El estudio fue aprobado por el Comité Ético Científico de Clínica Alemana de Santiago. Todos los pacientes otorgaron consentimiento informado para el uso de sus datos clínicos y resultados genéticos con fines de investigación.</w:t>
      </w:r>
    </w:p>
    <w:p w14:paraId="6962BA52" w14:textId="77777777" w:rsidR="00073364" w:rsidRPr="00814790" w:rsidRDefault="00000000" w:rsidP="00814790">
      <w:pPr>
        <w:spacing w:before="240" w:after="240" w:line="480" w:lineRule="auto"/>
        <w:rPr>
          <w:sz w:val="24"/>
          <w:szCs w:val="24"/>
        </w:rPr>
      </w:pPr>
      <w:r w:rsidRPr="00814790">
        <w:rPr>
          <w:b/>
          <w:sz w:val="24"/>
          <w:szCs w:val="24"/>
        </w:rPr>
        <w:t>Resultados</w:t>
      </w:r>
      <w:r w:rsidRPr="00814790">
        <w:rPr>
          <w:b/>
          <w:sz w:val="24"/>
          <w:szCs w:val="24"/>
        </w:rPr>
        <w:br/>
      </w:r>
      <w:r w:rsidRPr="00814790">
        <w:rPr>
          <w:sz w:val="24"/>
          <w:szCs w:val="24"/>
        </w:rPr>
        <w:t xml:space="preserve"> Durante el período de estudio, se identificaron 357 pacientes intervenidos por cáncer renal en la Clínica Alemana de Santiago. De ellos, 65 pacientes (18,2%) cumplieron criterios NCCN para indicación de estudio genético germinal.</w:t>
      </w:r>
      <w:r w:rsidRPr="00814790">
        <w:rPr>
          <w:sz w:val="24"/>
          <w:szCs w:val="24"/>
        </w:rPr>
        <w:br/>
        <w:t xml:space="preserve"> La edad media al diagnóstico de los pacientes que cumplían criterio de estudio genético fue de 44 años, y la mayoría correspondió a pacientes de sexo masculino (60%). El criterio de indicación más frecuente fue la edad &lt;46 años, presente en 52 casos (80%), seguido por antecedente familiar de cáncer renal en 13 pacientes (20%) y bilateralidad o multifocalidad tumoral en 8 casos (12,3%). Algunos pacientes presentaron más de un criterio simultáneo.</w:t>
      </w:r>
      <w:r w:rsidRPr="00814790">
        <w:rPr>
          <w:sz w:val="24"/>
          <w:szCs w:val="24"/>
        </w:rPr>
        <w:br/>
        <w:t xml:space="preserve"> La distribución histológica mostró un predominio de carcinoma de células claras (74,2%), seguido por los subtipos cromófobo (9,2%), carcinoma renal no clasificable (7,4%), neoplasia renal quística multilocular (5,5%) y papilar tipo I/II (3,7%) (Tabla 1).</w:t>
      </w:r>
      <w:r w:rsidRPr="00814790">
        <w:rPr>
          <w:sz w:val="24"/>
          <w:szCs w:val="24"/>
        </w:rPr>
        <w:br/>
        <w:t xml:space="preserve"> De los 65 pacientes con indicación de estudio genético, 14 (21,5%) accedieron efectivamente al análisis molecular mediante paneles multigénicos (Invitae Multi-Cancer Panel, Panel Onco-Riesgo y Panel Oncológico Clínica Universidad de los Andes).</w:t>
      </w:r>
      <w:r w:rsidRPr="00814790">
        <w:rPr>
          <w:sz w:val="24"/>
          <w:szCs w:val="24"/>
        </w:rPr>
        <w:br/>
        <w:t xml:space="preserve"> En este subgrupo, se identificaron dos mutaciones patogénicas (14,3%), correspondientes a los genes BRCA1 y MITF, así como seis variantes de significado </w:t>
      </w:r>
      <w:r w:rsidRPr="00814790">
        <w:rPr>
          <w:sz w:val="24"/>
          <w:szCs w:val="24"/>
        </w:rPr>
        <w:lastRenderedPageBreak/>
        <w:t>incierto (VUS, 46,1%) en CHEK2, FLCN, ATM, PMS2, MSH6 y BAP1. En los seis casos restantes (38,5%), no se detectaron variantes clínicamente relevantes (Tabla 2).</w:t>
      </w:r>
      <w:r w:rsidRPr="00814790">
        <w:rPr>
          <w:sz w:val="24"/>
          <w:szCs w:val="24"/>
        </w:rPr>
        <w:br/>
        <w:t xml:space="preserve"> El detalle molecular de las variantes detectadas se presenta en la Tabla 3. Ambas mutaciones patogénicas corresponden a alteraciones </w:t>
      </w:r>
      <w:r w:rsidRPr="00814790">
        <w:rPr>
          <w:i/>
          <w:sz w:val="24"/>
          <w:szCs w:val="24"/>
        </w:rPr>
        <w:t>missense</w:t>
      </w:r>
      <w:r w:rsidRPr="00814790">
        <w:rPr>
          <w:sz w:val="24"/>
          <w:szCs w:val="24"/>
        </w:rPr>
        <w:t xml:space="preserve"> con efecto conocido en la función proteica: BRCA1 c.5123C&gt;A (p.Ala1708Glu) y MITF c.952G&gt;A (p.Glu318Lys). Entre las variantes de significado incierto (VUS) destacaron alteraciones en genes relacionados con reparación del ADN (ATM, CHEK2, MSH6, PMS2) y en genes vinculados a síndromes hereditarios renales (FLCN, BAP1). No se identificaron variantes truncantes ni deleciones de gran tamaño; tampoco se encontraron mutaciones patogénicas en los genes clásicamente asociados a síndromes genéticos hereditarios en CR (VHL, FLCN, FH y MET).</w:t>
      </w:r>
    </w:p>
    <w:p w14:paraId="0B92BC60" w14:textId="77777777" w:rsidR="00073364" w:rsidRPr="00814790" w:rsidRDefault="00000000" w:rsidP="00814790">
      <w:pPr>
        <w:spacing w:before="240" w:after="240" w:line="480" w:lineRule="auto"/>
        <w:rPr>
          <w:sz w:val="24"/>
          <w:szCs w:val="24"/>
        </w:rPr>
      </w:pPr>
      <w:r w:rsidRPr="00814790">
        <w:rPr>
          <w:b/>
          <w:sz w:val="24"/>
          <w:szCs w:val="24"/>
        </w:rPr>
        <w:t>Discusión</w:t>
      </w:r>
      <w:r w:rsidRPr="00814790">
        <w:rPr>
          <w:b/>
          <w:sz w:val="24"/>
          <w:szCs w:val="24"/>
        </w:rPr>
        <w:br/>
      </w:r>
      <w:r w:rsidRPr="00814790">
        <w:rPr>
          <w:sz w:val="24"/>
          <w:szCs w:val="24"/>
        </w:rPr>
        <w:t xml:space="preserve"> En el mundo actual existe un creciente interés en realizar avances hacia una medicina más individualizada y de precisión; en este sentido, la realización de estudios genéticos a pacientes con CR es una estrategia sugerida por diversas guías clínicas, tanto por sus implicancias diagnósticas, terapéuticas y de consejería genética [10,5].</w:t>
      </w:r>
      <w:r w:rsidRPr="00814790">
        <w:rPr>
          <w:sz w:val="24"/>
          <w:szCs w:val="24"/>
        </w:rPr>
        <w:br/>
        <w:t xml:space="preserve"> Este estudio constituye el primer reporte nacional sobre estudio genético germinal en cáncer renal en Chile, y uno de los primeros esfuerzos sistemáticos en Latinoamérica destinados a caracterizar la prevalencia y el espectro de mutaciones germinales en esta enfermedad; de nuestro conocimiento, solo existe un reporte en población argentina que informó resultados de 24 pacientes que se realizaron estudio genético de una cohorte de 301 pacientes seleccionados solo por criterio de edad al diagnóstico, identificando 10 variantes patogénicas/probablemente </w:t>
      </w:r>
      <w:r w:rsidRPr="00814790">
        <w:rPr>
          <w:sz w:val="24"/>
          <w:szCs w:val="24"/>
        </w:rPr>
        <w:lastRenderedPageBreak/>
        <w:t xml:space="preserve">patogénicas (25% en </w:t>
      </w:r>
      <w:r w:rsidRPr="00814790">
        <w:rPr>
          <w:i/>
          <w:sz w:val="24"/>
          <w:szCs w:val="24"/>
        </w:rPr>
        <w:t>VHL</w:t>
      </w:r>
      <w:r w:rsidRPr="00814790">
        <w:rPr>
          <w:sz w:val="24"/>
          <w:szCs w:val="24"/>
        </w:rPr>
        <w:t xml:space="preserve">) [11]. Este hallazgo contrasta con lo descrito en nuestra población, en que no detectamos variantes patogénicas en </w:t>
      </w:r>
      <w:r w:rsidRPr="00814790">
        <w:rPr>
          <w:i/>
          <w:sz w:val="24"/>
          <w:szCs w:val="24"/>
        </w:rPr>
        <w:t>VHL</w:t>
      </w:r>
      <w:r w:rsidRPr="00814790">
        <w:rPr>
          <w:sz w:val="24"/>
          <w:szCs w:val="24"/>
        </w:rPr>
        <w:t>.</w:t>
      </w:r>
      <w:r w:rsidRPr="00814790">
        <w:rPr>
          <w:sz w:val="24"/>
          <w:szCs w:val="24"/>
        </w:rPr>
        <w:br/>
        <w:t xml:space="preserve"> A nivel internacional, estudios recientes han demostrado que entre un 10% y 20% de los pacientes con cáncer renal presentan variantes germinales patogénicas o probablemente patogénicas, tanto en genes clásicos de predisposición renal (VHL, FH, FLCN, MET, TSC1/2, SDHB/D y BAP1) como en genes de reparación del ADN no tradicionalmente asociados a cáncer renal (BRCA1/2, CHEK2, ATM, MSH6, PMS2) [3,4,6,7]. En la serie de Truong, se identificaron mutaciones germinales en el 17,7% de los pacientes con cáncer renal de inicio precoz, y casi la mitad correspondieron a genes no asociados clásicamente a síndromes renales hereditarios [7]. De modo concordante, Nguyen y colaboradores reportaron una tasa global de 13% de mutaciones germinales en una cohorte no seleccionada, con hallazgos frecuentes en CHEK2, FLCN, VHL y MLH1, sin asociación significativa con edad ni historia familiar [3].</w:t>
      </w:r>
      <w:r w:rsidRPr="00814790">
        <w:rPr>
          <w:sz w:val="24"/>
          <w:szCs w:val="24"/>
        </w:rPr>
        <w:br/>
        <w:t xml:space="preserve"> Nuestros resultados muestran una frecuencia de mutaciones patogénicas del 14,3% y un 46% de VUS, valores comparables a los reportes internacionales. Sin embargo, a diferencia de la mayoría de las series publicadas, las mutaciones patogénicas identificadas en nuestra cohorte —BRCA1 y MITF— no pertenecen a los genes tradicionalmente asociados a cáncer renal hereditario, lo que subraya la relevancia clínica de emplear paneles genéticos ampliados. Este hallazgo coincide con observaciones de Carlo y colaboradores [4] y con el análisis trans-étnico de Abou Alaiwi y colaboradores, quienes demostraron que hasta un 40–50% de las mutaciones germinales en cáncer renal se ubican en genes con implicancias multisistémicas más que en genes renales puros [12].</w:t>
      </w:r>
      <w:r w:rsidRPr="00814790">
        <w:rPr>
          <w:sz w:val="24"/>
          <w:szCs w:val="24"/>
        </w:rPr>
        <w:br/>
        <w:t xml:space="preserve"> La detección de mutaciones germinales en genes como </w:t>
      </w:r>
      <w:r w:rsidRPr="00814790">
        <w:rPr>
          <w:i/>
          <w:sz w:val="24"/>
          <w:szCs w:val="24"/>
        </w:rPr>
        <w:t>BRCA</w:t>
      </w:r>
      <w:r w:rsidRPr="00814790">
        <w:rPr>
          <w:sz w:val="24"/>
          <w:szCs w:val="24"/>
        </w:rPr>
        <w:t xml:space="preserve"> tiene implicancias </w:t>
      </w:r>
      <w:r w:rsidRPr="00814790">
        <w:rPr>
          <w:sz w:val="24"/>
          <w:szCs w:val="24"/>
        </w:rPr>
        <w:lastRenderedPageBreak/>
        <w:t>clínicas y de consejería genética particularmente relevantes. Estas alteraciones confieren un riesgo aumentado de neoplasias de mama, ovario, páncreas, próstata y melanoma, por lo que su identificación permite establecer estrategias personalizadas de tamizaje intensivo y prevención oncológica tanto para el paciente como para sus familiares en riesgo [13]. En este sentido, los hallazgos refuerzan el concepto de que la caracterización molecular debe ser entendida como un componente esencial de la medicina de precisión en urología oncológica.</w:t>
      </w:r>
      <w:r w:rsidRPr="00814790">
        <w:rPr>
          <w:sz w:val="24"/>
          <w:szCs w:val="24"/>
        </w:rPr>
        <w:br/>
        <w:t xml:space="preserve"> A pesar del avance tecnológico y la inclusión de recomendaciones explícitas en las guías NCCN y AUA, la utilización real de la evaluación genética sigue siendo baja. Estudios recientes demuestran que solo un 22–34% de los pacientes que cumplían criterios de indicación efectivamente completaron el estudio genético [9]. Este resultado es comparable con la tasa efectiva del 21,5% de estudios genéticos realizados en nuestra cohorte. Esta cifra podría atribuirse a diversos factores, como la falta de derivación por parte del equipo de salud, limitaciones económicas, ausencia de cobertura por los sistemas de salud o la negativa de los pacientes a someterse al estudio. Debido al diseño retrospectivo, solo podemos especular sobre estas causas. Futuras investigaciones deberán abordar esta problemática para optimizar la indicación y realización de dichos estudios.</w:t>
      </w:r>
      <w:r w:rsidRPr="00814790">
        <w:rPr>
          <w:sz w:val="24"/>
          <w:szCs w:val="24"/>
        </w:rPr>
        <w:br/>
        <w:t xml:space="preserve"> Otro aspecto de relevancia es la interpretación dinámica de las VUS. Estas constituyen casi la mitad de los hallazgos en la mayoría de las series, y su clasificación puede cambiar con el tiempo conforme se acumula evidencia. Las guías internacionales recomiendan la re-evaluación periódica de las VUS cada 18–24 meses, permitiendo la actualización de informes genéticos y la eventual reclasificación hacia categorías de mayor o menor patogenicidad [5,13].</w:t>
      </w:r>
      <w:r w:rsidRPr="00814790">
        <w:rPr>
          <w:sz w:val="24"/>
          <w:szCs w:val="24"/>
        </w:rPr>
        <w:br/>
        <w:t xml:space="preserve"> De forma relevante, en nuestra cohorte no encontramos mutaciones patogénicas en </w:t>
      </w:r>
      <w:r w:rsidRPr="00814790">
        <w:rPr>
          <w:sz w:val="24"/>
          <w:szCs w:val="24"/>
        </w:rPr>
        <w:lastRenderedPageBreak/>
        <w:t>los genes asociados a síndromes genéticos hereditarios como Von Hippel–Lindau (</w:t>
      </w:r>
      <w:r w:rsidRPr="00814790">
        <w:rPr>
          <w:i/>
          <w:sz w:val="24"/>
          <w:szCs w:val="24"/>
        </w:rPr>
        <w:t>VHL</w:t>
      </w:r>
      <w:r w:rsidRPr="00814790">
        <w:rPr>
          <w:sz w:val="24"/>
          <w:szCs w:val="24"/>
        </w:rPr>
        <w:t>), Birt–Hogg–Dubé (</w:t>
      </w:r>
      <w:r w:rsidRPr="00814790">
        <w:rPr>
          <w:i/>
          <w:sz w:val="24"/>
          <w:szCs w:val="24"/>
        </w:rPr>
        <w:t>FLCN</w:t>
      </w:r>
      <w:r w:rsidRPr="00814790">
        <w:rPr>
          <w:sz w:val="24"/>
          <w:szCs w:val="24"/>
        </w:rPr>
        <w:t>), cáncer renal papilar hereditario (</w:t>
      </w:r>
      <w:r w:rsidRPr="00814790">
        <w:rPr>
          <w:i/>
          <w:sz w:val="24"/>
          <w:szCs w:val="24"/>
        </w:rPr>
        <w:t>MET</w:t>
      </w:r>
      <w:r w:rsidRPr="00814790">
        <w:rPr>
          <w:sz w:val="24"/>
          <w:szCs w:val="24"/>
        </w:rPr>
        <w:t>) y leiomiomatosis hereditaria y cáncer de células renales (</w:t>
      </w:r>
      <w:r w:rsidRPr="00814790">
        <w:rPr>
          <w:i/>
          <w:sz w:val="24"/>
          <w:szCs w:val="24"/>
        </w:rPr>
        <w:t>FH</w:t>
      </w:r>
      <w:r w:rsidRPr="00814790">
        <w:rPr>
          <w:sz w:val="24"/>
          <w:szCs w:val="24"/>
        </w:rPr>
        <w:t>); esto contrasta con reportes internacionales que describen hallazgos patogénicos en estos genes en torno a 5–8% de los casos [3,4,6,7]. Si bien la explicación más plausible es el pequeño tamaño muestral, no es posible descartar diferencias poblacionales; estudios con mayor tamaño permitirán aclararlo.</w:t>
      </w:r>
      <w:r w:rsidRPr="00814790">
        <w:rPr>
          <w:sz w:val="24"/>
          <w:szCs w:val="24"/>
        </w:rPr>
        <w:br/>
        <w:t xml:space="preserve"> Finalmente, la presencia de mutaciones en genes no renales plantea un desafío para las estrategias de tamizaje actuales. Series amplias demuestran que la aplicación de paneles multigénicos amplía significativamente el rendimiento diagnóstico, permitiendo identificar variantes accionables y potencialmente terapéuticas en hasta un 10% de los casos [7,12]. En este contexto, la implementación de estudios genéticos ampliados en pacientes con cáncer renal de inicio precoz o bilateralidad tumoral se presenta como una estrategia eficiente para mejorar la detección de síndromes hereditarios y optimizar el seguimiento clínico y familiar.</w:t>
      </w:r>
    </w:p>
    <w:p w14:paraId="17516786" w14:textId="77777777" w:rsidR="00073364" w:rsidRPr="00814790" w:rsidRDefault="00000000" w:rsidP="00814790">
      <w:pPr>
        <w:spacing w:before="240" w:after="240" w:line="480" w:lineRule="auto"/>
        <w:rPr>
          <w:sz w:val="24"/>
          <w:szCs w:val="24"/>
        </w:rPr>
      </w:pPr>
      <w:r w:rsidRPr="00814790">
        <w:rPr>
          <w:b/>
          <w:sz w:val="24"/>
          <w:szCs w:val="24"/>
        </w:rPr>
        <w:t>Conclusión</w:t>
      </w:r>
      <w:r w:rsidRPr="00814790">
        <w:rPr>
          <w:b/>
          <w:sz w:val="24"/>
          <w:szCs w:val="24"/>
        </w:rPr>
        <w:br/>
      </w:r>
      <w:r w:rsidRPr="00814790">
        <w:rPr>
          <w:sz w:val="24"/>
          <w:szCs w:val="24"/>
        </w:rPr>
        <w:t xml:space="preserve"> En esta primera cohorte chilena, aproximadamente uno de cada cinco pacientes con CR localizado cumplió criterios para evaluación genética, aunque solo una fracción de estos accedió efectivamente al test, evidenciando una brecha relevante entre la indicación clínica y su implementación real. A pesar de esta limitación, los resultados demuestran la factibilidad y el impacto clínico del estudio germinal ampliado, con tasas de hallazgos patogénicos comparables a las reportadas internacionalmente, pero con un perfil mutacional distinto que incluye genes no clásicos asociados a cáncer renal, como </w:t>
      </w:r>
      <w:r w:rsidRPr="00814790">
        <w:rPr>
          <w:i/>
          <w:sz w:val="24"/>
          <w:szCs w:val="24"/>
        </w:rPr>
        <w:t>BRCA1</w:t>
      </w:r>
      <w:r w:rsidRPr="00814790">
        <w:rPr>
          <w:sz w:val="24"/>
          <w:szCs w:val="24"/>
        </w:rPr>
        <w:t xml:space="preserve"> y </w:t>
      </w:r>
      <w:r w:rsidRPr="00814790">
        <w:rPr>
          <w:i/>
          <w:sz w:val="24"/>
          <w:szCs w:val="24"/>
        </w:rPr>
        <w:t>MITF</w:t>
      </w:r>
      <w:r w:rsidRPr="00814790">
        <w:rPr>
          <w:sz w:val="24"/>
          <w:szCs w:val="24"/>
        </w:rPr>
        <w:t xml:space="preserve">, sin identificar mutaciones </w:t>
      </w:r>
      <w:r w:rsidRPr="00814790">
        <w:rPr>
          <w:sz w:val="24"/>
          <w:szCs w:val="24"/>
        </w:rPr>
        <w:lastRenderedPageBreak/>
        <w:t>patogénicas en genes clásicos de CR hereditario y una proporción significativa de VUS. La identificación de mutaciones con implicancias terapéuticas y de tamizaje multisistémico respalda la incorporación de paneles ampliados, potenciando la medicina personalizada y la prevención familiar dirigida. Nuestros hallazgos subrayan la importancia de generar evidencia local para adaptar las guías internacionales a las características genéticas de nuestra población y plantean desafíos clave para el sistema de salud chileno, como la mejora del acceso a la consejería y al estudio genético en población de riesgo. Estudios multicéntricos con mayor tamaño muestral permitirán validar estos hallazgos y contribuir al establecimiento de recomendaciones regionales basadas en evidencia.</w:t>
      </w:r>
    </w:p>
    <w:p w14:paraId="28FD3F72" w14:textId="77777777" w:rsidR="00073364" w:rsidRPr="00814790" w:rsidRDefault="00000000" w:rsidP="00814790">
      <w:pPr>
        <w:pStyle w:val="Ttulo1"/>
        <w:keepNext w:val="0"/>
        <w:keepLines w:val="0"/>
        <w:spacing w:before="480" w:line="480" w:lineRule="auto"/>
        <w:rPr>
          <w:b/>
          <w:sz w:val="24"/>
          <w:szCs w:val="24"/>
        </w:rPr>
      </w:pPr>
      <w:bookmarkStart w:id="0" w:name="_k3lkeg7oqzlq" w:colFirst="0" w:colLast="0"/>
      <w:bookmarkEnd w:id="0"/>
      <w:r w:rsidRPr="00814790">
        <w:rPr>
          <w:b/>
          <w:sz w:val="24"/>
          <w:szCs w:val="24"/>
        </w:rPr>
        <w:t xml:space="preserve">Bibliografía </w:t>
      </w:r>
    </w:p>
    <w:p w14:paraId="1677C1FF" w14:textId="77777777" w:rsidR="00073364" w:rsidRPr="00814790" w:rsidRDefault="00000000" w:rsidP="00814790">
      <w:pPr>
        <w:numPr>
          <w:ilvl w:val="0"/>
          <w:numId w:val="1"/>
        </w:numPr>
        <w:spacing w:before="240" w:line="480" w:lineRule="auto"/>
        <w:rPr>
          <w:sz w:val="24"/>
          <w:szCs w:val="24"/>
        </w:rPr>
      </w:pPr>
      <w:r w:rsidRPr="00814790">
        <w:rPr>
          <w:sz w:val="24"/>
          <w:szCs w:val="24"/>
        </w:rPr>
        <w:t>Larcher A, Campi R, Bex A, et al. Epidemiology of renal cancer: incidence, mortality, survival, genetic predisposition, and risk factors. Eur Urol. 2025;88(3):341–58.</w:t>
      </w:r>
      <w:r w:rsidRPr="00814790">
        <w:rPr>
          <w:sz w:val="24"/>
          <w:szCs w:val="24"/>
        </w:rPr>
        <w:br/>
      </w:r>
    </w:p>
    <w:p w14:paraId="0B5A155A" w14:textId="77777777" w:rsidR="00073364" w:rsidRPr="00814790" w:rsidRDefault="00000000" w:rsidP="00814790">
      <w:pPr>
        <w:numPr>
          <w:ilvl w:val="0"/>
          <w:numId w:val="1"/>
        </w:numPr>
        <w:spacing w:line="480" w:lineRule="auto"/>
        <w:rPr>
          <w:sz w:val="24"/>
          <w:szCs w:val="24"/>
        </w:rPr>
      </w:pPr>
      <w:r w:rsidRPr="00814790">
        <w:rPr>
          <w:sz w:val="24"/>
          <w:szCs w:val="24"/>
        </w:rPr>
        <w:t>Ferlay J, Ervik M, Lam F, et al. Global Cancer Observatory: Cancer Today. Lyon, France: International Agency for Research on Cancer; 2024. Available from:</w:t>
      </w:r>
      <w:hyperlink r:id="rId5">
        <w:r w:rsidRPr="00814790">
          <w:rPr>
            <w:sz w:val="24"/>
            <w:szCs w:val="24"/>
          </w:rPr>
          <w:t xml:space="preserve"> </w:t>
        </w:r>
      </w:hyperlink>
      <w:hyperlink r:id="rId6">
        <w:r w:rsidRPr="00814790">
          <w:rPr>
            <w:color w:val="1155CC"/>
            <w:sz w:val="24"/>
            <w:szCs w:val="24"/>
            <w:u w:val="single"/>
          </w:rPr>
          <w:t>https://gco.iarc.who.int/today</w:t>
        </w:r>
        <w:r w:rsidRPr="00814790">
          <w:rPr>
            <w:color w:val="1155CC"/>
            <w:sz w:val="24"/>
            <w:szCs w:val="24"/>
            <w:u w:val="single"/>
          </w:rPr>
          <w:br/>
        </w:r>
      </w:hyperlink>
    </w:p>
    <w:p w14:paraId="19F1DCA3" w14:textId="77777777" w:rsidR="00073364" w:rsidRPr="00814790" w:rsidRDefault="00000000" w:rsidP="00814790">
      <w:pPr>
        <w:numPr>
          <w:ilvl w:val="0"/>
          <w:numId w:val="1"/>
        </w:numPr>
        <w:spacing w:line="480" w:lineRule="auto"/>
        <w:rPr>
          <w:sz w:val="24"/>
          <w:szCs w:val="24"/>
        </w:rPr>
      </w:pPr>
      <w:r w:rsidRPr="00814790">
        <w:rPr>
          <w:sz w:val="24"/>
          <w:szCs w:val="24"/>
        </w:rPr>
        <w:t>Nguyen CB, Knaus C, Li J, et al. Pathogenic germline mutational landscape in patients with renal cell carcinoma and associated clinicopathologic features. JCO Precis Oncol. 2023;7:e2300168.</w:t>
      </w:r>
      <w:r w:rsidRPr="00814790">
        <w:rPr>
          <w:sz w:val="24"/>
          <w:szCs w:val="24"/>
        </w:rPr>
        <w:br/>
      </w:r>
    </w:p>
    <w:p w14:paraId="6EAA22DE" w14:textId="77777777" w:rsidR="00073364" w:rsidRPr="00814790" w:rsidRDefault="00000000" w:rsidP="00814790">
      <w:pPr>
        <w:numPr>
          <w:ilvl w:val="0"/>
          <w:numId w:val="1"/>
        </w:numPr>
        <w:spacing w:line="480" w:lineRule="auto"/>
        <w:rPr>
          <w:sz w:val="24"/>
          <w:szCs w:val="24"/>
        </w:rPr>
      </w:pPr>
      <w:r w:rsidRPr="00814790">
        <w:rPr>
          <w:sz w:val="24"/>
          <w:szCs w:val="24"/>
        </w:rPr>
        <w:lastRenderedPageBreak/>
        <w:t>Carlo MI, Mukherjee S, Mandelker D, et al. Prevalence of germline mutations in cancer susceptibility genes in patients with advanced renal cell carcinoma. JAMA Oncol. 2018;4(9):1228–35.</w:t>
      </w:r>
      <w:r w:rsidRPr="00814790">
        <w:rPr>
          <w:sz w:val="24"/>
          <w:szCs w:val="24"/>
        </w:rPr>
        <w:br/>
      </w:r>
    </w:p>
    <w:p w14:paraId="10088DB2" w14:textId="77777777" w:rsidR="00073364" w:rsidRPr="00814790" w:rsidRDefault="00000000" w:rsidP="00814790">
      <w:pPr>
        <w:numPr>
          <w:ilvl w:val="0"/>
          <w:numId w:val="1"/>
        </w:numPr>
        <w:spacing w:line="480" w:lineRule="auto"/>
        <w:rPr>
          <w:sz w:val="24"/>
          <w:szCs w:val="24"/>
        </w:rPr>
      </w:pPr>
      <w:r w:rsidRPr="00814790">
        <w:rPr>
          <w:sz w:val="24"/>
          <w:szCs w:val="24"/>
        </w:rPr>
        <w:t>Ljungberg B, Albiges L, Abu-Ghanem Y, et al. EAU Guidelines on Renal Cell Carcinoma 2024. Arnhem, The Netherlands: European Association of Urology; 2024. Available from:</w:t>
      </w:r>
      <w:hyperlink r:id="rId7">
        <w:r w:rsidRPr="00814790">
          <w:rPr>
            <w:sz w:val="24"/>
            <w:szCs w:val="24"/>
          </w:rPr>
          <w:t xml:space="preserve"> </w:t>
        </w:r>
      </w:hyperlink>
      <w:hyperlink r:id="rId8">
        <w:r w:rsidRPr="00814790">
          <w:rPr>
            <w:color w:val="1155CC"/>
            <w:sz w:val="24"/>
            <w:szCs w:val="24"/>
            <w:u w:val="single"/>
          </w:rPr>
          <w:t>https://uroweb.org/guidelines/renal-cell-carcinoma</w:t>
        </w:r>
        <w:r w:rsidRPr="00814790">
          <w:rPr>
            <w:color w:val="1155CC"/>
            <w:sz w:val="24"/>
            <w:szCs w:val="24"/>
            <w:u w:val="single"/>
          </w:rPr>
          <w:br/>
        </w:r>
      </w:hyperlink>
    </w:p>
    <w:p w14:paraId="3330A07C" w14:textId="77777777" w:rsidR="00073364" w:rsidRPr="00814790" w:rsidRDefault="00000000" w:rsidP="00814790">
      <w:pPr>
        <w:numPr>
          <w:ilvl w:val="0"/>
          <w:numId w:val="1"/>
        </w:numPr>
        <w:spacing w:line="480" w:lineRule="auto"/>
        <w:rPr>
          <w:sz w:val="24"/>
          <w:szCs w:val="24"/>
        </w:rPr>
      </w:pPr>
      <w:r w:rsidRPr="00814790">
        <w:rPr>
          <w:sz w:val="24"/>
          <w:szCs w:val="24"/>
        </w:rPr>
        <w:t>Smith PS, West H, Whitworth J, et al. Pathogenic germline variants in patients with features of hereditary renal cell carcinoma: evidence for further locus heterogeneity. Genes Chromosomes Cancer. 2021;60(1):5–16.</w:t>
      </w:r>
      <w:r w:rsidRPr="00814790">
        <w:rPr>
          <w:sz w:val="24"/>
          <w:szCs w:val="24"/>
        </w:rPr>
        <w:br/>
      </w:r>
    </w:p>
    <w:p w14:paraId="6B897F13" w14:textId="77777777" w:rsidR="00073364" w:rsidRPr="00814790" w:rsidRDefault="00000000" w:rsidP="00814790">
      <w:pPr>
        <w:numPr>
          <w:ilvl w:val="0"/>
          <w:numId w:val="1"/>
        </w:numPr>
        <w:spacing w:line="480" w:lineRule="auto"/>
        <w:rPr>
          <w:sz w:val="24"/>
          <w:szCs w:val="24"/>
        </w:rPr>
      </w:pPr>
      <w:r w:rsidRPr="00814790">
        <w:rPr>
          <w:sz w:val="24"/>
          <w:szCs w:val="24"/>
        </w:rPr>
        <w:t>Truong H, Sheikh R, Kotecha R, et al. Germline variants identified in patients with early-onset renal cell carcinoma referred for germline genetic testing. Eur Urol Oncol. 2021;4(6):993–1000.</w:t>
      </w:r>
      <w:r w:rsidRPr="00814790">
        <w:rPr>
          <w:sz w:val="24"/>
          <w:szCs w:val="24"/>
        </w:rPr>
        <w:br/>
      </w:r>
    </w:p>
    <w:p w14:paraId="14DCE76D" w14:textId="77777777" w:rsidR="00073364" w:rsidRPr="00814790" w:rsidRDefault="00000000" w:rsidP="00814790">
      <w:pPr>
        <w:numPr>
          <w:ilvl w:val="0"/>
          <w:numId w:val="1"/>
        </w:numPr>
        <w:spacing w:line="480" w:lineRule="auto"/>
        <w:rPr>
          <w:sz w:val="24"/>
          <w:szCs w:val="24"/>
        </w:rPr>
      </w:pPr>
      <w:r w:rsidRPr="00814790">
        <w:rPr>
          <w:sz w:val="24"/>
          <w:szCs w:val="24"/>
        </w:rPr>
        <w:t>Wu J, Wang H, Ricketts CJ, et al. Germline mutations of renal cancer predisposition genes and clinical relevance in Chinese patients with sporadic, early-onset disease. Cancer. 2019;125(7):1060–9.</w:t>
      </w:r>
      <w:r w:rsidRPr="00814790">
        <w:rPr>
          <w:sz w:val="24"/>
          <w:szCs w:val="24"/>
        </w:rPr>
        <w:br/>
      </w:r>
    </w:p>
    <w:p w14:paraId="79A70D3F" w14:textId="77777777" w:rsidR="00073364" w:rsidRPr="00814790" w:rsidRDefault="00000000" w:rsidP="00814790">
      <w:pPr>
        <w:numPr>
          <w:ilvl w:val="0"/>
          <w:numId w:val="1"/>
        </w:numPr>
        <w:spacing w:line="480" w:lineRule="auto"/>
        <w:rPr>
          <w:sz w:val="24"/>
          <w:szCs w:val="24"/>
        </w:rPr>
      </w:pPr>
      <w:r w:rsidRPr="00814790">
        <w:rPr>
          <w:sz w:val="24"/>
          <w:szCs w:val="24"/>
        </w:rPr>
        <w:t>Makarova E, Bakhla K, Demirsoy S, et al. Utilization of genetic evaluation in patients with kidney cancer who meet guidelines for genetic referral. Urol Oncol. 2025;43(6):663.e11–663.e15.</w:t>
      </w:r>
      <w:r w:rsidRPr="00814790">
        <w:rPr>
          <w:sz w:val="24"/>
          <w:szCs w:val="24"/>
        </w:rPr>
        <w:br/>
      </w:r>
    </w:p>
    <w:p w14:paraId="18B42320" w14:textId="77777777" w:rsidR="00073364" w:rsidRPr="00814790" w:rsidRDefault="00000000" w:rsidP="00814790">
      <w:pPr>
        <w:numPr>
          <w:ilvl w:val="0"/>
          <w:numId w:val="1"/>
        </w:numPr>
        <w:spacing w:line="480" w:lineRule="auto"/>
        <w:rPr>
          <w:sz w:val="24"/>
          <w:szCs w:val="24"/>
        </w:rPr>
      </w:pPr>
      <w:r w:rsidRPr="00814790">
        <w:rPr>
          <w:sz w:val="24"/>
          <w:szCs w:val="24"/>
        </w:rPr>
        <w:lastRenderedPageBreak/>
        <w:t>National Comprehensive Cancer Network (NCCN). Clinical Practice Guidelines in Oncology: Kidney Cancer. Version 1.2026. Plymouth Meeting, PA: NCCN; 2024.</w:t>
      </w:r>
      <w:r w:rsidRPr="00814790">
        <w:rPr>
          <w:sz w:val="24"/>
          <w:szCs w:val="24"/>
        </w:rPr>
        <w:br/>
      </w:r>
    </w:p>
    <w:p w14:paraId="51B4320E" w14:textId="77777777" w:rsidR="00073364" w:rsidRPr="00814790" w:rsidRDefault="00000000" w:rsidP="00814790">
      <w:pPr>
        <w:numPr>
          <w:ilvl w:val="0"/>
          <w:numId w:val="1"/>
        </w:numPr>
        <w:spacing w:line="480" w:lineRule="auto"/>
        <w:rPr>
          <w:sz w:val="24"/>
          <w:szCs w:val="24"/>
        </w:rPr>
      </w:pPr>
      <w:r w:rsidRPr="00814790">
        <w:rPr>
          <w:sz w:val="24"/>
          <w:szCs w:val="24"/>
        </w:rPr>
        <w:t>Carminatti T, et al. Hereditary renal cell carcinoma: is age an independent criterion for genetic testing? A large cohort from a Latin America referral center. J Kidney Cancer VHL. 2023;10(3):17–22.</w:t>
      </w:r>
      <w:r w:rsidRPr="00814790">
        <w:rPr>
          <w:sz w:val="24"/>
          <w:szCs w:val="24"/>
        </w:rPr>
        <w:br/>
      </w:r>
    </w:p>
    <w:p w14:paraId="08F11C1B" w14:textId="77777777" w:rsidR="00073364" w:rsidRPr="00814790" w:rsidRDefault="00000000" w:rsidP="00814790">
      <w:pPr>
        <w:numPr>
          <w:ilvl w:val="0"/>
          <w:numId w:val="1"/>
        </w:numPr>
        <w:spacing w:line="480" w:lineRule="auto"/>
        <w:rPr>
          <w:sz w:val="24"/>
          <w:szCs w:val="24"/>
        </w:rPr>
      </w:pPr>
      <w:r w:rsidRPr="00814790">
        <w:rPr>
          <w:sz w:val="24"/>
          <w:szCs w:val="24"/>
        </w:rPr>
        <w:t>Abou Alaiwi S, Nassar AH, Adib E, et al. Trans-ethnic variation in germline variants of patients with renal cell carcinoma. Cell Rep. 2021;34(13):108926.</w:t>
      </w:r>
      <w:r w:rsidRPr="00814790">
        <w:rPr>
          <w:sz w:val="24"/>
          <w:szCs w:val="24"/>
        </w:rPr>
        <w:br/>
      </w:r>
    </w:p>
    <w:p w14:paraId="24CFE332" w14:textId="77777777" w:rsidR="00073364" w:rsidRPr="00814790" w:rsidRDefault="00000000" w:rsidP="00814790">
      <w:pPr>
        <w:numPr>
          <w:ilvl w:val="0"/>
          <w:numId w:val="1"/>
        </w:numPr>
        <w:spacing w:after="240" w:line="480" w:lineRule="auto"/>
        <w:rPr>
          <w:sz w:val="24"/>
          <w:szCs w:val="24"/>
        </w:rPr>
      </w:pPr>
      <w:r w:rsidRPr="00814790">
        <w:rPr>
          <w:sz w:val="24"/>
          <w:szCs w:val="24"/>
        </w:rPr>
        <w:t>National Comprehensive Cancer Network. Genetic/Familial High-Risk Assessment: Breast, Ovarian, Pancreatic &amp; Prostate (Version 3.2025; 7 Nov 2024). Fort Washington, PA: NCCN; 2024. Available from:</w:t>
      </w:r>
      <w:hyperlink r:id="rId9">
        <w:r w:rsidRPr="00814790">
          <w:rPr>
            <w:sz w:val="24"/>
            <w:szCs w:val="24"/>
          </w:rPr>
          <w:t xml:space="preserve"> </w:t>
        </w:r>
      </w:hyperlink>
      <w:hyperlink r:id="rId10">
        <w:r w:rsidRPr="00814790">
          <w:rPr>
            <w:color w:val="1155CC"/>
            <w:sz w:val="24"/>
            <w:szCs w:val="24"/>
            <w:u w:val="single"/>
          </w:rPr>
          <w:t>https://www.nccn.org/professionals/physician_gls/pdf/genetics_bopp.pdf</w:t>
        </w:r>
      </w:hyperlink>
    </w:p>
    <w:p w14:paraId="564BAF28" w14:textId="77777777" w:rsidR="00073364" w:rsidRPr="00814790" w:rsidRDefault="00073364" w:rsidP="00814790">
      <w:pPr>
        <w:spacing w:line="480" w:lineRule="auto"/>
        <w:rPr>
          <w:sz w:val="24"/>
          <w:szCs w:val="24"/>
        </w:rPr>
      </w:pPr>
    </w:p>
    <w:p w14:paraId="308B8200" w14:textId="77777777" w:rsidR="00073364" w:rsidRPr="00814790" w:rsidRDefault="00073364" w:rsidP="00814790">
      <w:pPr>
        <w:spacing w:line="480" w:lineRule="auto"/>
        <w:rPr>
          <w:sz w:val="24"/>
          <w:szCs w:val="24"/>
        </w:rPr>
      </w:pPr>
    </w:p>
    <w:p w14:paraId="73070620" w14:textId="77777777" w:rsidR="00073364" w:rsidRPr="00814790" w:rsidRDefault="00000000" w:rsidP="00814790">
      <w:pPr>
        <w:spacing w:line="480" w:lineRule="auto"/>
        <w:rPr>
          <w:b/>
          <w:sz w:val="24"/>
          <w:szCs w:val="24"/>
        </w:rPr>
      </w:pPr>
      <w:r w:rsidRPr="00814790">
        <w:rPr>
          <w:b/>
          <w:sz w:val="24"/>
          <w:szCs w:val="24"/>
        </w:rPr>
        <w:t>Tablas y Figuras</w:t>
      </w:r>
    </w:p>
    <w:p w14:paraId="6F82E871" w14:textId="77777777" w:rsidR="00073364" w:rsidRPr="00814790" w:rsidRDefault="00073364" w:rsidP="00814790">
      <w:pPr>
        <w:spacing w:line="480" w:lineRule="auto"/>
        <w:rPr>
          <w:sz w:val="24"/>
          <w:szCs w:val="24"/>
        </w:rPr>
      </w:pPr>
    </w:p>
    <w:p w14:paraId="0C1C29C5" w14:textId="77777777" w:rsidR="00073364" w:rsidRPr="00814790" w:rsidRDefault="00000000" w:rsidP="00814790">
      <w:pPr>
        <w:widowControl w:val="0"/>
        <w:spacing w:line="480" w:lineRule="auto"/>
        <w:jc w:val="center"/>
        <w:rPr>
          <w:b/>
          <w:sz w:val="24"/>
          <w:szCs w:val="24"/>
        </w:rPr>
      </w:pPr>
      <w:r w:rsidRPr="00814790">
        <w:rPr>
          <w:b/>
          <w:sz w:val="24"/>
          <w:szCs w:val="24"/>
        </w:rPr>
        <w:t>Tabla 1. Características demográficas, clínicas e histológicas de los pacientes con indicación de estudio genético germinal por cáncer renal (n = 65). Se presentan los datos como número absoluto y porcentaje entre paréntesis o como media ± desviación estándar, según corresponda.</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73364" w:rsidRPr="00814790" w14:paraId="51161D43"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B21A4" w14:textId="77777777" w:rsidR="00073364" w:rsidRPr="00814790" w:rsidRDefault="00000000" w:rsidP="00814790">
            <w:pPr>
              <w:widowControl w:val="0"/>
              <w:spacing w:line="480" w:lineRule="auto"/>
              <w:jc w:val="center"/>
              <w:rPr>
                <w:sz w:val="24"/>
                <w:szCs w:val="24"/>
              </w:rPr>
            </w:pPr>
            <w:r w:rsidRPr="00814790">
              <w:rPr>
                <w:b/>
                <w:sz w:val="24"/>
                <w:szCs w:val="24"/>
              </w:rPr>
              <w:t>Característica</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65776" w14:textId="77777777" w:rsidR="00073364" w:rsidRPr="00814790" w:rsidRDefault="00000000" w:rsidP="00814790">
            <w:pPr>
              <w:widowControl w:val="0"/>
              <w:spacing w:line="480" w:lineRule="auto"/>
              <w:jc w:val="center"/>
              <w:rPr>
                <w:sz w:val="24"/>
                <w:szCs w:val="24"/>
              </w:rPr>
            </w:pPr>
            <w:r w:rsidRPr="00814790">
              <w:rPr>
                <w:b/>
                <w:sz w:val="24"/>
                <w:szCs w:val="24"/>
              </w:rPr>
              <w:t>n (%) o Media ± DE</w:t>
            </w:r>
          </w:p>
        </w:tc>
      </w:tr>
      <w:tr w:rsidR="00073364" w:rsidRPr="00814790" w14:paraId="060D64B4"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D738C" w14:textId="77777777" w:rsidR="00073364" w:rsidRPr="00814790" w:rsidRDefault="00000000" w:rsidP="00814790">
            <w:pPr>
              <w:widowControl w:val="0"/>
              <w:spacing w:line="480" w:lineRule="auto"/>
              <w:rPr>
                <w:sz w:val="24"/>
                <w:szCs w:val="24"/>
              </w:rPr>
            </w:pPr>
            <w:r w:rsidRPr="00814790">
              <w:rPr>
                <w:sz w:val="24"/>
                <w:szCs w:val="24"/>
              </w:rPr>
              <w:lastRenderedPageBreak/>
              <w:t>Edad al diagnóstico, años (media ± DE)</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6A463" w14:textId="77777777" w:rsidR="00073364" w:rsidRPr="00814790" w:rsidRDefault="00000000" w:rsidP="00814790">
            <w:pPr>
              <w:widowControl w:val="0"/>
              <w:spacing w:line="480" w:lineRule="auto"/>
              <w:rPr>
                <w:sz w:val="24"/>
                <w:szCs w:val="24"/>
              </w:rPr>
            </w:pPr>
            <w:r w:rsidRPr="00814790">
              <w:rPr>
                <w:sz w:val="24"/>
                <w:szCs w:val="24"/>
              </w:rPr>
              <w:t>44 (± 10)</w:t>
            </w:r>
          </w:p>
        </w:tc>
      </w:tr>
      <w:tr w:rsidR="00073364" w:rsidRPr="00814790" w14:paraId="041007A4"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CEEBC" w14:textId="77777777" w:rsidR="00073364" w:rsidRPr="00814790" w:rsidRDefault="00000000" w:rsidP="00814790">
            <w:pPr>
              <w:widowControl w:val="0"/>
              <w:spacing w:line="480" w:lineRule="auto"/>
              <w:rPr>
                <w:sz w:val="24"/>
                <w:szCs w:val="24"/>
              </w:rPr>
            </w:pPr>
            <w:r w:rsidRPr="00814790">
              <w:rPr>
                <w:b/>
                <w:sz w:val="24"/>
                <w:szCs w:val="24"/>
              </w:rPr>
              <w:t>Sexo</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F759F" w14:textId="77777777" w:rsidR="00073364" w:rsidRPr="00814790" w:rsidRDefault="00073364" w:rsidP="00814790">
            <w:pPr>
              <w:widowControl w:val="0"/>
              <w:spacing w:line="480" w:lineRule="auto"/>
              <w:rPr>
                <w:sz w:val="24"/>
                <w:szCs w:val="24"/>
              </w:rPr>
            </w:pPr>
          </w:p>
        </w:tc>
      </w:tr>
      <w:tr w:rsidR="00073364" w:rsidRPr="00814790" w14:paraId="7CD18B3E"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1DEDD" w14:textId="77777777" w:rsidR="00073364" w:rsidRPr="00814790" w:rsidRDefault="00000000" w:rsidP="00814790">
            <w:pPr>
              <w:widowControl w:val="0"/>
              <w:spacing w:line="480" w:lineRule="auto"/>
              <w:rPr>
                <w:sz w:val="24"/>
                <w:szCs w:val="24"/>
              </w:rPr>
            </w:pPr>
            <w:r w:rsidRPr="00814790">
              <w:rPr>
                <w:sz w:val="24"/>
                <w:szCs w:val="24"/>
              </w:rPr>
              <w:t>Masculino</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FBEA5" w14:textId="77777777" w:rsidR="00073364" w:rsidRPr="00814790" w:rsidRDefault="00000000" w:rsidP="00814790">
            <w:pPr>
              <w:widowControl w:val="0"/>
              <w:spacing w:line="480" w:lineRule="auto"/>
              <w:rPr>
                <w:sz w:val="24"/>
                <w:szCs w:val="24"/>
              </w:rPr>
            </w:pPr>
            <w:r w:rsidRPr="00814790">
              <w:rPr>
                <w:sz w:val="24"/>
                <w:szCs w:val="24"/>
              </w:rPr>
              <w:t>39 (60)</w:t>
            </w:r>
          </w:p>
        </w:tc>
      </w:tr>
      <w:tr w:rsidR="00073364" w:rsidRPr="00814790" w14:paraId="266CB52C"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7B86C" w14:textId="77777777" w:rsidR="00073364" w:rsidRPr="00814790" w:rsidRDefault="00000000" w:rsidP="00814790">
            <w:pPr>
              <w:widowControl w:val="0"/>
              <w:spacing w:line="480" w:lineRule="auto"/>
              <w:rPr>
                <w:sz w:val="24"/>
                <w:szCs w:val="24"/>
              </w:rPr>
            </w:pPr>
            <w:r w:rsidRPr="00814790">
              <w:rPr>
                <w:sz w:val="24"/>
                <w:szCs w:val="24"/>
              </w:rPr>
              <w:t>Femenino</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AB41E" w14:textId="77777777" w:rsidR="00073364" w:rsidRPr="00814790" w:rsidRDefault="00000000" w:rsidP="00814790">
            <w:pPr>
              <w:widowControl w:val="0"/>
              <w:spacing w:line="480" w:lineRule="auto"/>
              <w:rPr>
                <w:sz w:val="24"/>
                <w:szCs w:val="24"/>
              </w:rPr>
            </w:pPr>
            <w:r w:rsidRPr="00814790">
              <w:rPr>
                <w:sz w:val="24"/>
                <w:szCs w:val="24"/>
              </w:rPr>
              <w:t>26 (40)</w:t>
            </w:r>
          </w:p>
        </w:tc>
      </w:tr>
      <w:tr w:rsidR="00073364" w:rsidRPr="00814790" w14:paraId="286BEED0"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6F1D65" w14:textId="77777777" w:rsidR="00073364" w:rsidRPr="00814790" w:rsidRDefault="00000000" w:rsidP="00814790">
            <w:pPr>
              <w:widowControl w:val="0"/>
              <w:spacing w:line="480" w:lineRule="auto"/>
              <w:rPr>
                <w:sz w:val="24"/>
                <w:szCs w:val="24"/>
              </w:rPr>
            </w:pPr>
            <w:r w:rsidRPr="00814790">
              <w:rPr>
                <w:b/>
                <w:sz w:val="24"/>
                <w:szCs w:val="24"/>
              </w:rPr>
              <w:t>Criterios de indicación</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77F50" w14:textId="77777777" w:rsidR="00073364" w:rsidRPr="00814790" w:rsidRDefault="00073364" w:rsidP="00814790">
            <w:pPr>
              <w:widowControl w:val="0"/>
              <w:spacing w:line="480" w:lineRule="auto"/>
              <w:rPr>
                <w:sz w:val="24"/>
                <w:szCs w:val="24"/>
              </w:rPr>
            </w:pPr>
          </w:p>
        </w:tc>
      </w:tr>
      <w:tr w:rsidR="00073364" w:rsidRPr="00814790" w14:paraId="60CC371A"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577BB" w14:textId="77777777" w:rsidR="00073364" w:rsidRPr="00814790" w:rsidRDefault="00000000" w:rsidP="00814790">
            <w:pPr>
              <w:widowControl w:val="0"/>
              <w:spacing w:line="480" w:lineRule="auto"/>
              <w:rPr>
                <w:sz w:val="24"/>
                <w:szCs w:val="24"/>
              </w:rPr>
            </w:pPr>
            <w:r w:rsidRPr="00814790">
              <w:rPr>
                <w:sz w:val="24"/>
                <w:szCs w:val="24"/>
              </w:rPr>
              <w:t>Edad &lt; 46 años</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F166C" w14:textId="77777777" w:rsidR="00073364" w:rsidRPr="00814790" w:rsidRDefault="00000000" w:rsidP="00814790">
            <w:pPr>
              <w:widowControl w:val="0"/>
              <w:spacing w:line="480" w:lineRule="auto"/>
              <w:rPr>
                <w:sz w:val="24"/>
                <w:szCs w:val="24"/>
              </w:rPr>
            </w:pPr>
            <w:r w:rsidRPr="00814790">
              <w:rPr>
                <w:sz w:val="24"/>
                <w:szCs w:val="24"/>
              </w:rPr>
              <w:t>52 (80)</w:t>
            </w:r>
          </w:p>
        </w:tc>
      </w:tr>
      <w:tr w:rsidR="00073364" w:rsidRPr="00814790" w14:paraId="1A6E08F2"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AC2AE" w14:textId="77777777" w:rsidR="00073364" w:rsidRPr="00814790" w:rsidRDefault="00000000" w:rsidP="00814790">
            <w:pPr>
              <w:widowControl w:val="0"/>
              <w:spacing w:line="480" w:lineRule="auto"/>
              <w:rPr>
                <w:sz w:val="24"/>
                <w:szCs w:val="24"/>
              </w:rPr>
            </w:pPr>
            <w:r w:rsidRPr="00814790">
              <w:rPr>
                <w:sz w:val="24"/>
                <w:szCs w:val="24"/>
              </w:rPr>
              <w:t>Antecedente familiar de cáncer renal</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B45B5" w14:textId="77777777" w:rsidR="00073364" w:rsidRPr="00814790" w:rsidRDefault="00000000" w:rsidP="00814790">
            <w:pPr>
              <w:widowControl w:val="0"/>
              <w:spacing w:line="480" w:lineRule="auto"/>
              <w:rPr>
                <w:sz w:val="24"/>
                <w:szCs w:val="24"/>
              </w:rPr>
            </w:pPr>
            <w:r w:rsidRPr="00814790">
              <w:rPr>
                <w:sz w:val="24"/>
                <w:szCs w:val="24"/>
              </w:rPr>
              <w:t>13 (20)</w:t>
            </w:r>
          </w:p>
        </w:tc>
      </w:tr>
      <w:tr w:rsidR="00073364" w:rsidRPr="00814790" w14:paraId="65534C1B"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9FDBD" w14:textId="77777777" w:rsidR="00073364" w:rsidRPr="00814790" w:rsidRDefault="00000000" w:rsidP="00814790">
            <w:pPr>
              <w:widowControl w:val="0"/>
              <w:spacing w:line="480" w:lineRule="auto"/>
              <w:rPr>
                <w:sz w:val="24"/>
                <w:szCs w:val="24"/>
              </w:rPr>
            </w:pPr>
            <w:r w:rsidRPr="00814790">
              <w:rPr>
                <w:sz w:val="24"/>
                <w:szCs w:val="24"/>
              </w:rPr>
              <w:t>Bilateralidad/multifocalidad tumoral</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67FCA0" w14:textId="77777777" w:rsidR="00073364" w:rsidRPr="00814790" w:rsidRDefault="00000000" w:rsidP="00814790">
            <w:pPr>
              <w:widowControl w:val="0"/>
              <w:spacing w:line="480" w:lineRule="auto"/>
              <w:rPr>
                <w:sz w:val="24"/>
                <w:szCs w:val="24"/>
              </w:rPr>
            </w:pPr>
            <w:r w:rsidRPr="00814790">
              <w:rPr>
                <w:sz w:val="24"/>
                <w:szCs w:val="24"/>
              </w:rPr>
              <w:t>8 (12,3)</w:t>
            </w:r>
          </w:p>
        </w:tc>
      </w:tr>
      <w:tr w:rsidR="00073364" w:rsidRPr="00814790" w14:paraId="365D0DB1"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B9AAC" w14:textId="77777777" w:rsidR="00073364" w:rsidRPr="00814790" w:rsidRDefault="00000000" w:rsidP="00814790">
            <w:pPr>
              <w:widowControl w:val="0"/>
              <w:spacing w:line="480" w:lineRule="auto"/>
              <w:rPr>
                <w:sz w:val="24"/>
                <w:szCs w:val="24"/>
              </w:rPr>
            </w:pPr>
            <w:r w:rsidRPr="00814790">
              <w:rPr>
                <w:b/>
                <w:sz w:val="24"/>
                <w:szCs w:val="24"/>
              </w:rPr>
              <w:t>Subtipo histológico</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9A3C8" w14:textId="77777777" w:rsidR="00073364" w:rsidRPr="00814790" w:rsidRDefault="00073364" w:rsidP="00814790">
            <w:pPr>
              <w:widowControl w:val="0"/>
              <w:spacing w:line="480" w:lineRule="auto"/>
              <w:rPr>
                <w:sz w:val="24"/>
                <w:szCs w:val="24"/>
              </w:rPr>
            </w:pPr>
          </w:p>
        </w:tc>
      </w:tr>
      <w:tr w:rsidR="00073364" w:rsidRPr="00814790" w14:paraId="15C82E70"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31791" w14:textId="77777777" w:rsidR="00073364" w:rsidRPr="00814790" w:rsidRDefault="00000000" w:rsidP="00814790">
            <w:pPr>
              <w:widowControl w:val="0"/>
              <w:spacing w:line="480" w:lineRule="auto"/>
              <w:rPr>
                <w:sz w:val="24"/>
                <w:szCs w:val="24"/>
              </w:rPr>
            </w:pPr>
            <w:r w:rsidRPr="00814790">
              <w:rPr>
                <w:sz w:val="24"/>
                <w:szCs w:val="24"/>
              </w:rPr>
              <w:t>Células claras</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BEE77" w14:textId="77777777" w:rsidR="00073364" w:rsidRPr="00814790" w:rsidRDefault="00000000" w:rsidP="00814790">
            <w:pPr>
              <w:widowControl w:val="0"/>
              <w:spacing w:line="480" w:lineRule="auto"/>
              <w:rPr>
                <w:sz w:val="24"/>
                <w:szCs w:val="24"/>
              </w:rPr>
            </w:pPr>
            <w:r w:rsidRPr="00814790">
              <w:rPr>
                <w:sz w:val="24"/>
                <w:szCs w:val="24"/>
              </w:rPr>
              <w:t>48 (74,2)</w:t>
            </w:r>
          </w:p>
        </w:tc>
      </w:tr>
      <w:tr w:rsidR="00073364" w:rsidRPr="00814790" w14:paraId="22252E4D"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A450C" w14:textId="77777777" w:rsidR="00073364" w:rsidRPr="00814790" w:rsidRDefault="00000000" w:rsidP="00814790">
            <w:pPr>
              <w:widowControl w:val="0"/>
              <w:spacing w:line="480" w:lineRule="auto"/>
              <w:rPr>
                <w:sz w:val="24"/>
                <w:szCs w:val="24"/>
              </w:rPr>
            </w:pPr>
            <w:r w:rsidRPr="00814790">
              <w:rPr>
                <w:sz w:val="24"/>
                <w:szCs w:val="24"/>
              </w:rPr>
              <w:t>Cromófobo</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7A658" w14:textId="77777777" w:rsidR="00073364" w:rsidRPr="00814790" w:rsidRDefault="00000000" w:rsidP="00814790">
            <w:pPr>
              <w:widowControl w:val="0"/>
              <w:spacing w:line="480" w:lineRule="auto"/>
              <w:rPr>
                <w:sz w:val="24"/>
                <w:szCs w:val="24"/>
              </w:rPr>
            </w:pPr>
            <w:r w:rsidRPr="00814790">
              <w:rPr>
                <w:sz w:val="24"/>
                <w:szCs w:val="24"/>
              </w:rPr>
              <w:t>6 (9,2)</w:t>
            </w:r>
          </w:p>
        </w:tc>
      </w:tr>
      <w:tr w:rsidR="00073364" w:rsidRPr="00814790" w14:paraId="1DF91A50"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DF985" w14:textId="77777777" w:rsidR="00073364" w:rsidRPr="00814790" w:rsidRDefault="00000000" w:rsidP="00814790">
            <w:pPr>
              <w:widowControl w:val="0"/>
              <w:spacing w:line="480" w:lineRule="auto"/>
              <w:rPr>
                <w:sz w:val="24"/>
                <w:szCs w:val="24"/>
              </w:rPr>
            </w:pPr>
            <w:r w:rsidRPr="00814790">
              <w:rPr>
                <w:sz w:val="24"/>
                <w:szCs w:val="24"/>
              </w:rPr>
              <w:t>Neoplasia renal quística multilocular</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A29FA" w14:textId="77777777" w:rsidR="00073364" w:rsidRPr="00814790" w:rsidRDefault="00000000" w:rsidP="00814790">
            <w:pPr>
              <w:widowControl w:val="0"/>
              <w:spacing w:line="480" w:lineRule="auto"/>
              <w:rPr>
                <w:sz w:val="24"/>
                <w:szCs w:val="24"/>
              </w:rPr>
            </w:pPr>
            <w:r w:rsidRPr="00814790">
              <w:rPr>
                <w:sz w:val="24"/>
                <w:szCs w:val="24"/>
              </w:rPr>
              <w:t>4 (5,5)</w:t>
            </w:r>
          </w:p>
        </w:tc>
      </w:tr>
      <w:tr w:rsidR="00073364" w:rsidRPr="00814790" w14:paraId="1073F5E5"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33544" w14:textId="77777777" w:rsidR="00073364" w:rsidRPr="00814790" w:rsidRDefault="00000000" w:rsidP="00814790">
            <w:pPr>
              <w:widowControl w:val="0"/>
              <w:spacing w:line="480" w:lineRule="auto"/>
              <w:rPr>
                <w:sz w:val="24"/>
                <w:szCs w:val="24"/>
              </w:rPr>
            </w:pPr>
            <w:r w:rsidRPr="00814790">
              <w:rPr>
                <w:sz w:val="24"/>
                <w:szCs w:val="24"/>
              </w:rPr>
              <w:t>Papilar tipo I/II</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F7978" w14:textId="77777777" w:rsidR="00073364" w:rsidRPr="00814790" w:rsidRDefault="00000000" w:rsidP="00814790">
            <w:pPr>
              <w:widowControl w:val="0"/>
              <w:spacing w:line="480" w:lineRule="auto"/>
              <w:rPr>
                <w:sz w:val="24"/>
                <w:szCs w:val="24"/>
              </w:rPr>
            </w:pPr>
            <w:r w:rsidRPr="00814790">
              <w:rPr>
                <w:sz w:val="24"/>
                <w:szCs w:val="24"/>
              </w:rPr>
              <w:t>2 (3,7)</w:t>
            </w:r>
          </w:p>
        </w:tc>
      </w:tr>
      <w:tr w:rsidR="00073364" w:rsidRPr="00814790" w14:paraId="13400744" w14:textId="77777777">
        <w:trPr>
          <w:trHeight w:val="515"/>
        </w:trPr>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D0B10" w14:textId="77777777" w:rsidR="00073364" w:rsidRPr="00814790" w:rsidRDefault="00000000" w:rsidP="00814790">
            <w:pPr>
              <w:widowControl w:val="0"/>
              <w:spacing w:line="480" w:lineRule="auto"/>
              <w:rPr>
                <w:sz w:val="24"/>
                <w:szCs w:val="24"/>
              </w:rPr>
            </w:pPr>
            <w:r w:rsidRPr="00814790">
              <w:rPr>
                <w:sz w:val="24"/>
                <w:szCs w:val="24"/>
              </w:rPr>
              <w:t>Carcinoma renal no clasificable</w:t>
            </w:r>
          </w:p>
        </w:tc>
        <w:tc>
          <w:tcPr>
            <w:tcW w:w="4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E397B" w14:textId="77777777" w:rsidR="00073364" w:rsidRPr="00814790" w:rsidRDefault="00000000" w:rsidP="00814790">
            <w:pPr>
              <w:widowControl w:val="0"/>
              <w:spacing w:line="480" w:lineRule="auto"/>
              <w:rPr>
                <w:sz w:val="24"/>
                <w:szCs w:val="24"/>
              </w:rPr>
            </w:pPr>
            <w:r w:rsidRPr="00814790">
              <w:rPr>
                <w:sz w:val="24"/>
                <w:szCs w:val="24"/>
              </w:rPr>
              <w:t>4 (7,4)</w:t>
            </w:r>
          </w:p>
        </w:tc>
      </w:tr>
    </w:tbl>
    <w:p w14:paraId="1A637E8B" w14:textId="77777777" w:rsidR="00073364" w:rsidRPr="00814790" w:rsidRDefault="00073364" w:rsidP="00814790">
      <w:pPr>
        <w:spacing w:line="480" w:lineRule="auto"/>
        <w:rPr>
          <w:sz w:val="24"/>
          <w:szCs w:val="24"/>
        </w:rPr>
      </w:pPr>
    </w:p>
    <w:p w14:paraId="75FA4EDE" w14:textId="77777777" w:rsidR="00073364" w:rsidRPr="00814790" w:rsidRDefault="00073364" w:rsidP="00814790">
      <w:pPr>
        <w:spacing w:line="480" w:lineRule="auto"/>
        <w:rPr>
          <w:sz w:val="24"/>
          <w:szCs w:val="24"/>
        </w:rPr>
      </w:pPr>
    </w:p>
    <w:p w14:paraId="1EB09994" w14:textId="77777777" w:rsidR="00073364" w:rsidRPr="00814790" w:rsidRDefault="00000000" w:rsidP="00814790">
      <w:pPr>
        <w:spacing w:line="480" w:lineRule="auto"/>
        <w:rPr>
          <w:sz w:val="24"/>
          <w:szCs w:val="24"/>
        </w:rPr>
      </w:pPr>
      <w:r w:rsidRPr="00814790">
        <w:rPr>
          <w:b/>
          <w:sz w:val="24"/>
          <w:szCs w:val="24"/>
        </w:rPr>
        <w:t>Tabla 2.</w:t>
      </w:r>
      <w:r w:rsidRPr="00814790">
        <w:rPr>
          <w:sz w:val="24"/>
          <w:szCs w:val="24"/>
        </w:rPr>
        <w:t xml:space="preserve"> Resultados del estudio genético germinal en pacientes con cáncer renal (N = 14). Se muestran el número de pacientes y la frecuencia relativa para cada categoría de hallazgo genético. Se incluyen los genes identificados en los casos con mutaciones patogénicas y variantes de significado incierto (VUS)</w:t>
      </w: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073364" w:rsidRPr="00814790" w14:paraId="43F4F76A" w14:textId="77777777">
        <w:trPr>
          <w:trHeight w:val="78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009110" w14:textId="77777777" w:rsidR="00073364" w:rsidRPr="00814790" w:rsidRDefault="00000000" w:rsidP="00814790">
            <w:pPr>
              <w:widowControl w:val="0"/>
              <w:spacing w:line="480" w:lineRule="auto"/>
              <w:jc w:val="center"/>
              <w:rPr>
                <w:sz w:val="24"/>
                <w:szCs w:val="24"/>
              </w:rPr>
            </w:pPr>
            <w:r w:rsidRPr="00814790">
              <w:rPr>
                <w:b/>
                <w:sz w:val="24"/>
                <w:szCs w:val="24"/>
              </w:rPr>
              <w:lastRenderedPageBreak/>
              <w:t>Tipo de hallazgo</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A0BE5" w14:textId="77777777" w:rsidR="00073364" w:rsidRPr="00814790" w:rsidRDefault="00000000" w:rsidP="00814790">
            <w:pPr>
              <w:widowControl w:val="0"/>
              <w:spacing w:line="480" w:lineRule="auto"/>
              <w:jc w:val="center"/>
              <w:rPr>
                <w:sz w:val="24"/>
                <w:szCs w:val="24"/>
              </w:rPr>
            </w:pPr>
            <w:r w:rsidRPr="00814790">
              <w:rPr>
                <w:b/>
                <w:sz w:val="24"/>
                <w:szCs w:val="24"/>
              </w:rPr>
              <w:t>N</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73E6A" w14:textId="77777777" w:rsidR="00073364" w:rsidRPr="00814790" w:rsidRDefault="00000000" w:rsidP="00814790">
            <w:pPr>
              <w:widowControl w:val="0"/>
              <w:spacing w:line="480" w:lineRule="auto"/>
              <w:jc w:val="center"/>
              <w:rPr>
                <w:sz w:val="24"/>
                <w:szCs w:val="24"/>
              </w:rPr>
            </w:pPr>
            <w:r w:rsidRPr="00814790">
              <w:rPr>
                <w:b/>
                <w:sz w:val="24"/>
                <w:szCs w:val="24"/>
              </w:rPr>
              <w:t>Frecuencia (%)</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22368" w14:textId="77777777" w:rsidR="00073364" w:rsidRPr="00814790" w:rsidRDefault="00000000" w:rsidP="00814790">
            <w:pPr>
              <w:widowControl w:val="0"/>
              <w:spacing w:line="480" w:lineRule="auto"/>
              <w:jc w:val="center"/>
              <w:rPr>
                <w:sz w:val="24"/>
                <w:szCs w:val="24"/>
              </w:rPr>
            </w:pPr>
            <w:r w:rsidRPr="00814790">
              <w:rPr>
                <w:b/>
                <w:sz w:val="24"/>
                <w:szCs w:val="24"/>
              </w:rPr>
              <w:t>Genes identificados</w:t>
            </w:r>
          </w:p>
        </w:tc>
      </w:tr>
      <w:tr w:rsidR="00073364" w:rsidRPr="00814790" w14:paraId="4316D325"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484E9" w14:textId="77777777" w:rsidR="00073364" w:rsidRPr="00814790" w:rsidRDefault="00000000" w:rsidP="00814790">
            <w:pPr>
              <w:widowControl w:val="0"/>
              <w:spacing w:line="480" w:lineRule="auto"/>
              <w:rPr>
                <w:sz w:val="24"/>
                <w:szCs w:val="24"/>
              </w:rPr>
            </w:pPr>
            <w:r w:rsidRPr="00814790">
              <w:rPr>
                <w:sz w:val="24"/>
                <w:szCs w:val="24"/>
              </w:rPr>
              <w:t>Mutaciones patogénicas</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BAB99" w14:textId="77777777" w:rsidR="00073364" w:rsidRPr="00814790" w:rsidRDefault="00000000" w:rsidP="00814790">
            <w:pPr>
              <w:widowControl w:val="0"/>
              <w:spacing w:line="480" w:lineRule="auto"/>
              <w:rPr>
                <w:sz w:val="24"/>
                <w:szCs w:val="24"/>
              </w:rPr>
            </w:pPr>
            <w:sdt>
              <w:sdtPr>
                <w:rPr>
                  <w:sz w:val="24"/>
                  <w:szCs w:val="24"/>
                </w:rPr>
                <w:alias w:val="n"/>
                <w:id w:val="-458098905"/>
                <w:dropDownList>
                  <w:listItem w:displayText="2" w:value="2"/>
                  <w:listItem w:displayText="6" w:value="6"/>
                </w:dropDownList>
              </w:sdtPr>
              <w:sdtContent>
                <w:r w:rsidRPr="00814790">
                  <w:rPr>
                    <w:sz w:val="24"/>
                    <w:szCs w:val="24"/>
                  </w:rPr>
                  <w:t>2</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2D4F6" w14:textId="77777777" w:rsidR="00073364" w:rsidRPr="00814790" w:rsidRDefault="00000000" w:rsidP="00814790">
            <w:pPr>
              <w:widowControl w:val="0"/>
              <w:spacing w:line="480" w:lineRule="auto"/>
              <w:rPr>
                <w:sz w:val="24"/>
                <w:szCs w:val="24"/>
              </w:rPr>
            </w:pPr>
            <w:r w:rsidRPr="00814790">
              <w:rPr>
                <w:sz w:val="24"/>
                <w:szCs w:val="24"/>
              </w:rPr>
              <w:t>14,3</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0CD09" w14:textId="77777777" w:rsidR="00073364" w:rsidRPr="00814790" w:rsidRDefault="00000000" w:rsidP="00814790">
            <w:pPr>
              <w:widowControl w:val="0"/>
              <w:spacing w:line="480" w:lineRule="auto"/>
              <w:rPr>
                <w:sz w:val="24"/>
                <w:szCs w:val="24"/>
              </w:rPr>
            </w:pPr>
            <w:r w:rsidRPr="00814790">
              <w:rPr>
                <w:i/>
                <w:sz w:val="24"/>
                <w:szCs w:val="24"/>
              </w:rPr>
              <w:t>BRCA1</w:t>
            </w:r>
            <w:r w:rsidRPr="00814790">
              <w:rPr>
                <w:sz w:val="24"/>
                <w:szCs w:val="24"/>
              </w:rPr>
              <w:t xml:space="preserve">, </w:t>
            </w:r>
            <w:r w:rsidRPr="00814790">
              <w:rPr>
                <w:i/>
                <w:sz w:val="24"/>
                <w:szCs w:val="24"/>
              </w:rPr>
              <w:t>MITF</w:t>
            </w:r>
          </w:p>
        </w:tc>
      </w:tr>
      <w:tr w:rsidR="00073364" w:rsidRPr="00814790" w14:paraId="0EE4052F" w14:textId="77777777">
        <w:trPr>
          <w:trHeight w:val="78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F1C77" w14:textId="77777777" w:rsidR="00073364" w:rsidRPr="00814790" w:rsidRDefault="00000000" w:rsidP="00814790">
            <w:pPr>
              <w:widowControl w:val="0"/>
              <w:spacing w:line="480" w:lineRule="auto"/>
              <w:rPr>
                <w:sz w:val="24"/>
                <w:szCs w:val="24"/>
              </w:rPr>
            </w:pPr>
            <w:r w:rsidRPr="00814790">
              <w:rPr>
                <w:sz w:val="24"/>
                <w:szCs w:val="24"/>
              </w:rPr>
              <w:t>Variantes de significado incierto (VUS)</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3DBE5" w14:textId="77777777" w:rsidR="00073364" w:rsidRPr="00814790" w:rsidRDefault="00000000" w:rsidP="00814790">
            <w:pPr>
              <w:widowControl w:val="0"/>
              <w:spacing w:line="480" w:lineRule="auto"/>
              <w:rPr>
                <w:sz w:val="24"/>
                <w:szCs w:val="24"/>
              </w:rPr>
            </w:pPr>
            <w:sdt>
              <w:sdtPr>
                <w:rPr>
                  <w:sz w:val="24"/>
                  <w:szCs w:val="24"/>
                </w:rPr>
                <w:alias w:val="n"/>
                <w:id w:val="124448484"/>
                <w:dropDownList>
                  <w:listItem w:displayText="2" w:value="2"/>
                  <w:listItem w:displayText="6" w:value="6"/>
                </w:dropDownList>
              </w:sdtPr>
              <w:sdtContent>
                <w:r w:rsidRPr="00814790">
                  <w:rPr>
                    <w:sz w:val="24"/>
                    <w:szCs w:val="24"/>
                  </w:rPr>
                  <w:t>6</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7B1CA" w14:textId="77777777" w:rsidR="00073364" w:rsidRPr="00814790" w:rsidRDefault="00000000" w:rsidP="00814790">
            <w:pPr>
              <w:widowControl w:val="0"/>
              <w:spacing w:line="480" w:lineRule="auto"/>
              <w:rPr>
                <w:sz w:val="24"/>
                <w:szCs w:val="24"/>
              </w:rPr>
            </w:pPr>
            <w:r w:rsidRPr="00814790">
              <w:rPr>
                <w:sz w:val="24"/>
                <w:szCs w:val="24"/>
              </w:rPr>
              <w:t>46,1</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C64CE" w14:textId="77777777" w:rsidR="00073364" w:rsidRPr="00814790" w:rsidRDefault="00000000" w:rsidP="00814790">
            <w:pPr>
              <w:widowControl w:val="0"/>
              <w:spacing w:line="480" w:lineRule="auto"/>
              <w:rPr>
                <w:sz w:val="24"/>
                <w:szCs w:val="24"/>
              </w:rPr>
            </w:pPr>
            <w:r w:rsidRPr="00814790">
              <w:rPr>
                <w:i/>
                <w:sz w:val="24"/>
                <w:szCs w:val="24"/>
              </w:rPr>
              <w:t>CHEK2</w:t>
            </w:r>
            <w:r w:rsidRPr="00814790">
              <w:rPr>
                <w:sz w:val="24"/>
                <w:szCs w:val="24"/>
              </w:rPr>
              <w:t xml:space="preserve">, </w:t>
            </w:r>
            <w:r w:rsidRPr="00814790">
              <w:rPr>
                <w:i/>
                <w:sz w:val="24"/>
                <w:szCs w:val="24"/>
              </w:rPr>
              <w:t>FLCN</w:t>
            </w:r>
            <w:r w:rsidRPr="00814790">
              <w:rPr>
                <w:sz w:val="24"/>
                <w:szCs w:val="24"/>
              </w:rPr>
              <w:t xml:space="preserve">, </w:t>
            </w:r>
            <w:r w:rsidRPr="00814790">
              <w:rPr>
                <w:i/>
                <w:sz w:val="24"/>
                <w:szCs w:val="24"/>
              </w:rPr>
              <w:t>ATM</w:t>
            </w:r>
            <w:r w:rsidRPr="00814790">
              <w:rPr>
                <w:sz w:val="24"/>
                <w:szCs w:val="24"/>
              </w:rPr>
              <w:t xml:space="preserve">, </w:t>
            </w:r>
            <w:r w:rsidRPr="00814790">
              <w:rPr>
                <w:i/>
                <w:sz w:val="24"/>
                <w:szCs w:val="24"/>
              </w:rPr>
              <w:t>PMS2</w:t>
            </w:r>
            <w:r w:rsidRPr="00814790">
              <w:rPr>
                <w:sz w:val="24"/>
                <w:szCs w:val="24"/>
              </w:rPr>
              <w:t xml:space="preserve">, </w:t>
            </w:r>
            <w:r w:rsidRPr="00814790">
              <w:rPr>
                <w:i/>
                <w:sz w:val="24"/>
                <w:szCs w:val="24"/>
              </w:rPr>
              <w:t>MSH6</w:t>
            </w:r>
            <w:r w:rsidRPr="00814790">
              <w:rPr>
                <w:sz w:val="24"/>
                <w:szCs w:val="24"/>
              </w:rPr>
              <w:t xml:space="preserve">, </w:t>
            </w:r>
            <w:r w:rsidRPr="00814790">
              <w:rPr>
                <w:i/>
                <w:sz w:val="24"/>
                <w:szCs w:val="24"/>
              </w:rPr>
              <w:t>BAP1</w:t>
            </w:r>
          </w:p>
        </w:tc>
      </w:tr>
      <w:tr w:rsidR="00073364" w:rsidRPr="00814790" w14:paraId="626E9A85"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7A773" w14:textId="77777777" w:rsidR="00073364" w:rsidRPr="00814790" w:rsidRDefault="00000000" w:rsidP="00814790">
            <w:pPr>
              <w:widowControl w:val="0"/>
              <w:spacing w:line="480" w:lineRule="auto"/>
              <w:rPr>
                <w:sz w:val="24"/>
                <w:szCs w:val="24"/>
              </w:rPr>
            </w:pPr>
            <w:r w:rsidRPr="00814790">
              <w:rPr>
                <w:sz w:val="24"/>
                <w:szCs w:val="24"/>
              </w:rPr>
              <w:t>Sin variantes detectadas</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FDCA4" w14:textId="77777777" w:rsidR="00073364" w:rsidRPr="00814790" w:rsidRDefault="00000000" w:rsidP="00814790">
            <w:pPr>
              <w:widowControl w:val="0"/>
              <w:spacing w:line="480" w:lineRule="auto"/>
              <w:rPr>
                <w:sz w:val="24"/>
                <w:szCs w:val="24"/>
              </w:rPr>
            </w:pPr>
            <w:sdt>
              <w:sdtPr>
                <w:rPr>
                  <w:sz w:val="24"/>
                  <w:szCs w:val="24"/>
                </w:rPr>
                <w:alias w:val="n"/>
                <w:id w:val="630118286"/>
                <w:dropDownList>
                  <w:listItem w:displayText="2" w:value="2"/>
                  <w:listItem w:displayText="6" w:value="6"/>
                </w:dropDownList>
              </w:sdtPr>
              <w:sdtContent>
                <w:r w:rsidRPr="00814790">
                  <w:rPr>
                    <w:sz w:val="24"/>
                    <w:szCs w:val="24"/>
                  </w:rPr>
                  <w:t>6</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04EB5" w14:textId="77777777" w:rsidR="00073364" w:rsidRPr="00814790" w:rsidRDefault="00000000" w:rsidP="00814790">
            <w:pPr>
              <w:widowControl w:val="0"/>
              <w:spacing w:line="480" w:lineRule="auto"/>
              <w:rPr>
                <w:sz w:val="24"/>
                <w:szCs w:val="24"/>
              </w:rPr>
            </w:pPr>
            <w:r w:rsidRPr="00814790">
              <w:rPr>
                <w:sz w:val="24"/>
                <w:szCs w:val="24"/>
              </w:rPr>
              <w:t>38,5</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8220A" w14:textId="77777777" w:rsidR="00073364" w:rsidRPr="00814790" w:rsidRDefault="00000000" w:rsidP="00814790">
            <w:pPr>
              <w:widowControl w:val="0"/>
              <w:spacing w:line="480" w:lineRule="auto"/>
              <w:rPr>
                <w:sz w:val="24"/>
                <w:szCs w:val="24"/>
              </w:rPr>
            </w:pPr>
            <w:r w:rsidRPr="00814790">
              <w:rPr>
                <w:sz w:val="24"/>
                <w:szCs w:val="24"/>
              </w:rPr>
              <w:t>N/A</w:t>
            </w:r>
          </w:p>
        </w:tc>
      </w:tr>
    </w:tbl>
    <w:p w14:paraId="482AC5B2" w14:textId="77777777" w:rsidR="00073364" w:rsidRPr="00814790" w:rsidRDefault="00073364" w:rsidP="00814790">
      <w:pPr>
        <w:spacing w:line="480" w:lineRule="auto"/>
        <w:rPr>
          <w:sz w:val="24"/>
          <w:szCs w:val="24"/>
        </w:rPr>
      </w:pPr>
    </w:p>
    <w:p w14:paraId="2BEF0E4A" w14:textId="77777777" w:rsidR="00073364" w:rsidRPr="00814790" w:rsidRDefault="00073364" w:rsidP="00814790">
      <w:pPr>
        <w:spacing w:line="480" w:lineRule="auto"/>
        <w:rPr>
          <w:sz w:val="24"/>
          <w:szCs w:val="24"/>
        </w:rPr>
      </w:pPr>
    </w:p>
    <w:p w14:paraId="0D03F172" w14:textId="77777777" w:rsidR="00073364" w:rsidRPr="00814790" w:rsidRDefault="00073364" w:rsidP="00814790">
      <w:pPr>
        <w:widowControl w:val="0"/>
        <w:spacing w:line="480" w:lineRule="auto"/>
        <w:jc w:val="center"/>
        <w:rPr>
          <w:sz w:val="24"/>
          <w:szCs w:val="24"/>
        </w:rPr>
      </w:pPr>
    </w:p>
    <w:p w14:paraId="6B525D9B" w14:textId="77777777" w:rsidR="00073364" w:rsidRPr="00814790" w:rsidRDefault="00000000" w:rsidP="00814790">
      <w:pPr>
        <w:widowControl w:val="0"/>
        <w:spacing w:line="480" w:lineRule="auto"/>
        <w:jc w:val="center"/>
        <w:rPr>
          <w:b/>
          <w:sz w:val="24"/>
          <w:szCs w:val="24"/>
        </w:rPr>
      </w:pPr>
      <w:r w:rsidRPr="00814790">
        <w:rPr>
          <w:b/>
          <w:sz w:val="24"/>
          <w:szCs w:val="24"/>
        </w:rPr>
        <w:t xml:space="preserve">Tabla 3. Hallazgos moleculares germinales en pacientes con cáncer renal (n = 8). Se describen los genes identificados, el cambio nucleotídico (c.) y el cambio proteico ( p.), clasificados según su relevancia clínica como patogénicos o variantes de significado incierto (VUS,). </w:t>
      </w: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073364" w:rsidRPr="00814790" w14:paraId="191224A7"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DF02E" w14:textId="77777777" w:rsidR="00073364" w:rsidRPr="00814790" w:rsidRDefault="00000000" w:rsidP="00814790">
            <w:pPr>
              <w:widowControl w:val="0"/>
              <w:spacing w:line="480" w:lineRule="auto"/>
              <w:jc w:val="center"/>
              <w:rPr>
                <w:sz w:val="24"/>
                <w:szCs w:val="24"/>
              </w:rPr>
            </w:pPr>
            <w:r w:rsidRPr="00814790">
              <w:rPr>
                <w:b/>
                <w:sz w:val="24"/>
                <w:szCs w:val="24"/>
              </w:rPr>
              <w:t>Resultado</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3EBB4" w14:textId="77777777" w:rsidR="00073364" w:rsidRPr="00814790" w:rsidRDefault="00000000" w:rsidP="00814790">
            <w:pPr>
              <w:widowControl w:val="0"/>
              <w:spacing w:line="480" w:lineRule="auto"/>
              <w:jc w:val="center"/>
              <w:rPr>
                <w:sz w:val="24"/>
                <w:szCs w:val="24"/>
              </w:rPr>
            </w:pPr>
            <w:r w:rsidRPr="00814790">
              <w:rPr>
                <w:b/>
                <w:sz w:val="24"/>
                <w:szCs w:val="24"/>
              </w:rPr>
              <w:t>Gen</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62DD0" w14:textId="77777777" w:rsidR="00073364" w:rsidRPr="00814790" w:rsidRDefault="00000000" w:rsidP="00814790">
            <w:pPr>
              <w:widowControl w:val="0"/>
              <w:spacing w:line="480" w:lineRule="auto"/>
              <w:jc w:val="center"/>
              <w:rPr>
                <w:sz w:val="24"/>
                <w:szCs w:val="24"/>
              </w:rPr>
            </w:pPr>
            <w:r w:rsidRPr="00814790">
              <w:rPr>
                <w:b/>
                <w:sz w:val="24"/>
                <w:szCs w:val="24"/>
              </w:rPr>
              <w:t>Cambio Nucleotídico (c.)</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83ABD" w14:textId="77777777" w:rsidR="00073364" w:rsidRPr="00814790" w:rsidRDefault="00000000" w:rsidP="00814790">
            <w:pPr>
              <w:widowControl w:val="0"/>
              <w:spacing w:line="480" w:lineRule="auto"/>
              <w:jc w:val="center"/>
              <w:rPr>
                <w:sz w:val="24"/>
                <w:szCs w:val="24"/>
              </w:rPr>
            </w:pPr>
            <w:r w:rsidRPr="00814790">
              <w:rPr>
                <w:b/>
                <w:sz w:val="24"/>
                <w:szCs w:val="24"/>
              </w:rPr>
              <w:t>Cambio Proteico (p.)</w:t>
            </w:r>
          </w:p>
        </w:tc>
      </w:tr>
      <w:tr w:rsidR="00073364" w:rsidRPr="00814790" w14:paraId="6255BDC9"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4D2CA" w14:textId="77777777" w:rsidR="00073364" w:rsidRPr="00814790" w:rsidRDefault="00000000" w:rsidP="00814790">
            <w:pPr>
              <w:widowControl w:val="0"/>
              <w:spacing w:line="480" w:lineRule="auto"/>
              <w:rPr>
                <w:sz w:val="24"/>
                <w:szCs w:val="24"/>
              </w:rPr>
            </w:pPr>
            <w:sdt>
              <w:sdtPr>
                <w:rPr>
                  <w:sz w:val="24"/>
                  <w:szCs w:val="24"/>
                </w:rPr>
                <w:alias w:val="Resultado"/>
                <w:id w:val="-147328890"/>
                <w:dropDownList>
                  <w:listItem w:displayText="Patogénica" w:value="Patogénica"/>
                  <w:listItem w:displayText="VUS" w:value="VUS"/>
                </w:dropDownList>
              </w:sdtPr>
              <w:sdtContent>
                <w:r w:rsidRPr="00814790">
                  <w:rPr>
                    <w:sz w:val="24"/>
                    <w:szCs w:val="24"/>
                  </w:rPr>
                  <w:t>Patogénica</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76B19"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BRCA1</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45E26"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c.5123C&gt;A</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C96E6"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p.Ala1708Glu</w:t>
            </w:r>
          </w:p>
        </w:tc>
      </w:tr>
      <w:tr w:rsidR="00073364" w:rsidRPr="00814790" w14:paraId="10E1B680"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EA5C2" w14:textId="77777777" w:rsidR="00073364" w:rsidRPr="00814790" w:rsidRDefault="00000000" w:rsidP="00814790">
            <w:pPr>
              <w:widowControl w:val="0"/>
              <w:spacing w:before="240" w:after="240" w:line="480" w:lineRule="auto"/>
              <w:ind w:left="720" w:hanging="360"/>
              <w:rPr>
                <w:sz w:val="24"/>
                <w:szCs w:val="24"/>
              </w:rPr>
            </w:pPr>
            <w:sdt>
              <w:sdtPr>
                <w:rPr>
                  <w:sz w:val="24"/>
                  <w:szCs w:val="24"/>
                </w:rPr>
                <w:alias w:val="Resultado"/>
                <w:id w:val="-1921287031"/>
                <w:dropDownList>
                  <w:listItem w:displayText="Patogénica" w:value="Patogénica"/>
                  <w:listItem w:displayText="VUS" w:value="VUS"/>
                </w:dropDownList>
              </w:sdtPr>
              <w:sdtContent>
                <w:r w:rsidRPr="00814790">
                  <w:rPr>
                    <w:sz w:val="24"/>
                    <w:szCs w:val="24"/>
                  </w:rPr>
                  <w:t>Patogénica</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9BFDE"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MITF</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290EC"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c.952G&gt;A</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E8F70"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p.Glu318Lys</w:t>
            </w:r>
          </w:p>
        </w:tc>
      </w:tr>
      <w:tr w:rsidR="00073364" w:rsidRPr="00814790" w14:paraId="07285D31"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2F4E3" w14:textId="77777777" w:rsidR="00073364" w:rsidRPr="00814790" w:rsidRDefault="00000000" w:rsidP="00814790">
            <w:pPr>
              <w:widowControl w:val="0"/>
              <w:spacing w:before="240" w:after="240" w:line="480" w:lineRule="auto"/>
              <w:ind w:left="720" w:hanging="360"/>
              <w:rPr>
                <w:sz w:val="24"/>
                <w:szCs w:val="24"/>
              </w:rPr>
            </w:pPr>
            <w:sdt>
              <w:sdtPr>
                <w:rPr>
                  <w:sz w:val="24"/>
                  <w:szCs w:val="24"/>
                </w:rPr>
                <w:alias w:val="Resultado"/>
                <w:id w:val="-550046212"/>
                <w:dropDownList>
                  <w:listItem w:displayText="Patogénica" w:value="Patogénica"/>
                  <w:listItem w:displayText="VUS" w:value="VUS"/>
                </w:dropDownList>
              </w:sdtPr>
              <w:sdtContent>
                <w:r w:rsidRPr="00814790">
                  <w:rPr>
                    <w:sz w:val="24"/>
                    <w:szCs w:val="24"/>
                  </w:rPr>
                  <w:t>VUS</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97EA2"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CHEK2</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BE259"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c.470T&gt;C</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72D7A"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p.Ile157Thr</w:t>
            </w:r>
          </w:p>
        </w:tc>
      </w:tr>
      <w:tr w:rsidR="00073364" w:rsidRPr="00814790" w14:paraId="375D8B63"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BD94C" w14:textId="77777777" w:rsidR="00073364" w:rsidRPr="00814790" w:rsidRDefault="00000000" w:rsidP="00814790">
            <w:pPr>
              <w:widowControl w:val="0"/>
              <w:spacing w:before="240" w:after="240" w:line="480" w:lineRule="auto"/>
              <w:ind w:left="720" w:hanging="360"/>
              <w:rPr>
                <w:sz w:val="24"/>
                <w:szCs w:val="24"/>
              </w:rPr>
            </w:pPr>
            <w:sdt>
              <w:sdtPr>
                <w:rPr>
                  <w:sz w:val="24"/>
                  <w:szCs w:val="24"/>
                </w:rPr>
                <w:alias w:val="Resultado"/>
                <w:id w:val="1618215324"/>
                <w:dropDownList>
                  <w:listItem w:displayText="Patogénica" w:value="Patogénica"/>
                  <w:listItem w:displayText="VUS" w:value="VUS"/>
                </w:dropDownList>
              </w:sdtPr>
              <w:sdtContent>
                <w:r w:rsidRPr="00814790">
                  <w:rPr>
                    <w:sz w:val="24"/>
                    <w:szCs w:val="24"/>
                  </w:rPr>
                  <w:t>VUS</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C10CD"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FLCN</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D5A4B"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c.634C&gt;T</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DD693"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p.Arg212Cys</w:t>
            </w:r>
          </w:p>
        </w:tc>
      </w:tr>
      <w:tr w:rsidR="00073364" w:rsidRPr="00814790" w14:paraId="6842A732"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92178" w14:textId="77777777" w:rsidR="00073364" w:rsidRPr="00814790" w:rsidRDefault="00000000" w:rsidP="00814790">
            <w:pPr>
              <w:widowControl w:val="0"/>
              <w:spacing w:before="240" w:after="240" w:line="480" w:lineRule="auto"/>
              <w:ind w:left="720" w:hanging="360"/>
              <w:rPr>
                <w:sz w:val="24"/>
                <w:szCs w:val="24"/>
              </w:rPr>
            </w:pPr>
            <w:sdt>
              <w:sdtPr>
                <w:rPr>
                  <w:sz w:val="24"/>
                  <w:szCs w:val="24"/>
                </w:rPr>
                <w:alias w:val="Resultado"/>
                <w:id w:val="-1178882454"/>
                <w:dropDownList>
                  <w:listItem w:displayText="Patogénica" w:value="Patogénica"/>
                  <w:listItem w:displayText="VUS" w:value="VUS"/>
                </w:dropDownList>
              </w:sdtPr>
              <w:sdtContent>
                <w:r w:rsidRPr="00814790">
                  <w:rPr>
                    <w:sz w:val="24"/>
                    <w:szCs w:val="24"/>
                  </w:rPr>
                  <w:t>VUS</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5BD87"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ATM</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4C214"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c.8578G&gt;A</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65187"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p.Asp2860Asn</w:t>
            </w:r>
          </w:p>
        </w:tc>
      </w:tr>
      <w:tr w:rsidR="00073364" w:rsidRPr="00814790" w14:paraId="417B2A02"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50C71" w14:textId="77777777" w:rsidR="00073364" w:rsidRPr="00814790" w:rsidRDefault="00000000" w:rsidP="00814790">
            <w:pPr>
              <w:widowControl w:val="0"/>
              <w:spacing w:before="240" w:after="240" w:line="480" w:lineRule="auto"/>
              <w:ind w:left="720" w:hanging="360"/>
              <w:rPr>
                <w:sz w:val="24"/>
                <w:szCs w:val="24"/>
              </w:rPr>
            </w:pPr>
            <w:sdt>
              <w:sdtPr>
                <w:rPr>
                  <w:sz w:val="24"/>
                  <w:szCs w:val="24"/>
                </w:rPr>
                <w:alias w:val="Resultado"/>
                <w:id w:val="-984792428"/>
                <w:dropDownList>
                  <w:listItem w:displayText="Patogénica" w:value="Patogénica"/>
                  <w:listItem w:displayText="VUS" w:value="VUS"/>
                </w:dropDownList>
              </w:sdtPr>
              <w:sdtContent>
                <w:r w:rsidRPr="00814790">
                  <w:rPr>
                    <w:sz w:val="24"/>
                    <w:szCs w:val="24"/>
                  </w:rPr>
                  <w:t>VUS</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B3EBE"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PMS2</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2C3E2"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c.1670C&gt;T</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18C2B"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p.Ser557Leu</w:t>
            </w:r>
          </w:p>
        </w:tc>
      </w:tr>
      <w:tr w:rsidR="00073364" w:rsidRPr="00814790" w14:paraId="53230811"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76725" w14:textId="77777777" w:rsidR="00073364" w:rsidRPr="00814790" w:rsidRDefault="00000000" w:rsidP="00814790">
            <w:pPr>
              <w:widowControl w:val="0"/>
              <w:spacing w:before="240" w:after="240" w:line="480" w:lineRule="auto"/>
              <w:ind w:left="720" w:hanging="360"/>
              <w:rPr>
                <w:sz w:val="24"/>
                <w:szCs w:val="24"/>
              </w:rPr>
            </w:pPr>
            <w:sdt>
              <w:sdtPr>
                <w:rPr>
                  <w:sz w:val="24"/>
                  <w:szCs w:val="24"/>
                </w:rPr>
                <w:alias w:val="Resultado"/>
                <w:id w:val="1090446908"/>
                <w:dropDownList>
                  <w:listItem w:displayText="Patogénica" w:value="Patogénica"/>
                  <w:listItem w:displayText="VUS" w:value="VUS"/>
                </w:dropDownList>
              </w:sdtPr>
              <w:sdtContent>
                <w:r w:rsidRPr="00814790">
                  <w:rPr>
                    <w:sz w:val="24"/>
                    <w:szCs w:val="24"/>
                  </w:rPr>
                  <w:t>VUS</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CB6CF"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MSH6</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DD7CC"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c.3261dupC</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DC9A94"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p.Phe1088Leufs*5</w:t>
            </w:r>
          </w:p>
        </w:tc>
      </w:tr>
      <w:tr w:rsidR="00073364" w:rsidRPr="00814790" w14:paraId="1EEFC6BE" w14:textId="77777777">
        <w:trPr>
          <w:trHeight w:val="515"/>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94806" w14:textId="77777777" w:rsidR="00073364" w:rsidRPr="00814790" w:rsidRDefault="00000000" w:rsidP="00814790">
            <w:pPr>
              <w:widowControl w:val="0"/>
              <w:spacing w:before="240" w:after="240" w:line="480" w:lineRule="auto"/>
              <w:ind w:left="720" w:hanging="360"/>
              <w:rPr>
                <w:sz w:val="24"/>
                <w:szCs w:val="24"/>
              </w:rPr>
            </w:pPr>
            <w:sdt>
              <w:sdtPr>
                <w:rPr>
                  <w:sz w:val="24"/>
                  <w:szCs w:val="24"/>
                </w:rPr>
                <w:alias w:val="Resultado"/>
                <w:id w:val="-633622289"/>
                <w:dropDownList>
                  <w:listItem w:displayText="Patogénica" w:value="Patogénica"/>
                  <w:listItem w:displayText="VUS" w:value="VUS"/>
                </w:dropDownList>
              </w:sdtPr>
              <w:sdtContent>
                <w:r w:rsidRPr="00814790">
                  <w:rPr>
                    <w:sz w:val="24"/>
                    <w:szCs w:val="24"/>
                  </w:rPr>
                  <w:t>VUS</w:t>
                </w:r>
              </w:sdtContent>
            </w:sdt>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CCB78" w14:textId="77777777" w:rsidR="00073364" w:rsidRPr="00814790" w:rsidRDefault="00000000" w:rsidP="00814790">
            <w:pPr>
              <w:widowControl w:val="0"/>
              <w:spacing w:before="240" w:after="240" w:line="480" w:lineRule="auto"/>
              <w:ind w:left="720" w:hanging="360"/>
              <w:rPr>
                <w:sz w:val="24"/>
                <w:szCs w:val="24"/>
              </w:rPr>
            </w:pPr>
            <w:r w:rsidRPr="00814790">
              <w:rPr>
                <w:i/>
                <w:sz w:val="24"/>
                <w:szCs w:val="24"/>
              </w:rPr>
              <w:t>BAP1</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6AAC4"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c.497G&gt;A</w:t>
            </w:r>
          </w:p>
        </w:tc>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1E876" w14:textId="77777777" w:rsidR="00073364" w:rsidRPr="00814790" w:rsidRDefault="00000000" w:rsidP="00814790">
            <w:pPr>
              <w:widowControl w:val="0"/>
              <w:spacing w:before="240" w:after="240" w:line="480" w:lineRule="auto"/>
              <w:ind w:left="720" w:hanging="360"/>
              <w:rPr>
                <w:sz w:val="24"/>
                <w:szCs w:val="24"/>
              </w:rPr>
            </w:pPr>
            <w:r w:rsidRPr="00814790">
              <w:rPr>
                <w:sz w:val="24"/>
                <w:szCs w:val="24"/>
              </w:rPr>
              <w:t>p.Arg166His</w:t>
            </w:r>
          </w:p>
        </w:tc>
      </w:tr>
    </w:tbl>
    <w:p w14:paraId="6FA832A0" w14:textId="77777777" w:rsidR="00073364" w:rsidRPr="00814790" w:rsidRDefault="00073364" w:rsidP="00814790">
      <w:pPr>
        <w:widowControl w:val="0"/>
        <w:spacing w:line="480" w:lineRule="auto"/>
        <w:rPr>
          <w:sz w:val="24"/>
          <w:szCs w:val="24"/>
        </w:rPr>
      </w:pPr>
    </w:p>
    <w:p w14:paraId="22AB0888" w14:textId="77777777" w:rsidR="00073364" w:rsidRPr="00814790" w:rsidRDefault="00073364" w:rsidP="00814790">
      <w:pPr>
        <w:spacing w:line="480" w:lineRule="auto"/>
        <w:rPr>
          <w:sz w:val="24"/>
          <w:szCs w:val="24"/>
        </w:rPr>
      </w:pPr>
    </w:p>
    <w:p w14:paraId="16730C2C" w14:textId="77777777" w:rsidR="00073364" w:rsidRPr="00814790" w:rsidRDefault="00073364" w:rsidP="00814790">
      <w:pPr>
        <w:spacing w:line="480" w:lineRule="auto"/>
        <w:rPr>
          <w:sz w:val="24"/>
          <w:szCs w:val="24"/>
          <w:highlight w:val="white"/>
        </w:rPr>
      </w:pPr>
    </w:p>
    <w:sectPr w:rsidR="00073364" w:rsidRPr="0081479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9746D"/>
    <w:multiLevelType w:val="multilevel"/>
    <w:tmpl w:val="70ACE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91623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64"/>
    <w:rsid w:val="00073364"/>
    <w:rsid w:val="003A1D5B"/>
    <w:rsid w:val="008147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D5F507B"/>
  <w15:docId w15:val="{1920C18C-59F8-E74C-B1B1-22637016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roweb.org/guidelines/renal-cell-carcinoma" TargetMode="External"/><Relationship Id="rId3" Type="http://schemas.openxmlformats.org/officeDocument/2006/relationships/settings" Target="settings.xml"/><Relationship Id="rId7" Type="http://schemas.openxmlformats.org/officeDocument/2006/relationships/hyperlink" Target="https://uroweb.org/guidelines/renal-cell-carcino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o.iarc.who.int/today" TargetMode="External"/><Relationship Id="rId11" Type="http://schemas.openxmlformats.org/officeDocument/2006/relationships/fontTable" Target="fontTable.xml"/><Relationship Id="rId5" Type="http://schemas.openxmlformats.org/officeDocument/2006/relationships/hyperlink" Target="https://gco.iarc.who.int/today" TargetMode="External"/><Relationship Id="rId10" Type="http://schemas.openxmlformats.org/officeDocument/2006/relationships/hyperlink" Target="https://www.nccn.org/professionals/physician_gls/pdf/genetics_bopp.pdf" TargetMode="External"/><Relationship Id="rId4" Type="http://schemas.openxmlformats.org/officeDocument/2006/relationships/webSettings" Target="webSettings.xml"/><Relationship Id="rId9" Type="http://schemas.openxmlformats.org/officeDocument/2006/relationships/hyperlink" Target="https://www.nccn.org/professionals/physician_gls/pdf/genetics_bo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3976</Words>
  <Characters>21871</Characters>
  <Application>Microsoft Office Word</Application>
  <DocSecurity>0</DocSecurity>
  <Lines>182</Lines>
  <Paragraphs>51</Paragraphs>
  <ScaleCrop>false</ScaleCrop>
  <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Alfredo Eduardo Aliaga De La Fuente (aealiaga)</cp:lastModifiedBy>
  <cp:revision>2</cp:revision>
  <dcterms:created xsi:type="dcterms:W3CDTF">2025-10-19T21:45:00Z</dcterms:created>
  <dcterms:modified xsi:type="dcterms:W3CDTF">2025-10-19T21:46:00Z</dcterms:modified>
</cp:coreProperties>
</file>