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RESONANCIA MAGNÉTICA PROSTÁTICA Y DISCORDANCIA ENTRE BIOPSIA TRANSRECTAL Y OPERATORIA EN CÁNCER DE PRÓSTATA</w:t>
      </w:r>
      <w:r w:rsidDel="00000000" w:rsidR="00000000" w:rsidRPr="00000000">
        <w:rPr>
          <w:rtl w:val="0"/>
        </w:rPr>
      </w:r>
    </w:p>
    <w:p w:rsidR="00000000" w:rsidDel="00000000" w:rsidP="00000000" w:rsidRDefault="00000000" w:rsidRPr="00000000" w14:paraId="00000002">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4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b w:val="1"/>
          <w:sz w:val="24"/>
          <w:szCs w:val="24"/>
          <w:rtl w:val="0"/>
        </w:rPr>
        <w:t xml:space="preserve">Autores: </w:t>
      </w:r>
      <w:r w:rsidDel="00000000" w:rsidR="00000000" w:rsidRPr="00000000">
        <w:rPr>
          <w:rFonts w:ascii="Times New Roman" w:cs="Times New Roman" w:eastAsia="Times New Roman" w:hAnsi="Times New Roman"/>
          <w:sz w:val="24"/>
          <w:szCs w:val="24"/>
          <w:rtl w:val="0"/>
        </w:rPr>
        <w:t xml:space="preserve">Espinoza C.</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Córdova V.</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Grandi D.</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 Bacco B.</w:t>
      </w:r>
      <w:r w:rsidDel="00000000" w:rsidR="00000000" w:rsidRPr="00000000">
        <w:rPr>
          <w:rFonts w:ascii="Times New Roman" w:cs="Times New Roman" w:eastAsia="Times New Roman" w:hAnsi="Times New Roman"/>
          <w:sz w:val="24"/>
          <w:szCs w:val="24"/>
          <w:vertAlign w:val="superscript"/>
          <w:rtl w:val="0"/>
        </w:rPr>
        <w:t xml:space="preserve">4</w:t>
      </w:r>
      <w:r w:rsidDel="00000000" w:rsidR="00000000" w:rsidRPr="00000000">
        <w:rPr>
          <w:rFonts w:ascii="Times New Roman" w:cs="Times New Roman" w:eastAsia="Times New Roman" w:hAnsi="Times New Roman"/>
          <w:sz w:val="24"/>
          <w:szCs w:val="24"/>
          <w:rtl w:val="0"/>
        </w:rPr>
        <w:t xml:space="preserve">, Villalobos V.</w:t>
      </w:r>
      <w:r w:rsidDel="00000000" w:rsidR="00000000" w:rsidRPr="00000000">
        <w:rPr>
          <w:rFonts w:ascii="Times New Roman" w:cs="Times New Roman" w:eastAsia="Times New Roman" w:hAnsi="Times New Roman"/>
          <w:sz w:val="24"/>
          <w:szCs w:val="24"/>
          <w:vertAlign w:val="superscript"/>
          <w:rtl w:val="0"/>
        </w:rPr>
        <w:t xml:space="preserve">4</w:t>
      </w:r>
      <w:r w:rsidDel="00000000" w:rsidR="00000000" w:rsidRPr="00000000">
        <w:rPr>
          <w:rFonts w:ascii="Times New Roman" w:cs="Times New Roman" w:eastAsia="Times New Roman" w:hAnsi="Times New Roman"/>
          <w:sz w:val="24"/>
          <w:szCs w:val="24"/>
          <w:rtl w:val="0"/>
        </w:rPr>
        <w:t xml:space="preserve">, Ruiz S.</w:t>
      </w:r>
      <w:r w:rsidDel="00000000" w:rsidR="00000000" w:rsidRPr="00000000">
        <w:rPr>
          <w:rFonts w:ascii="Times New Roman" w:cs="Times New Roman" w:eastAsia="Times New Roman" w:hAnsi="Times New Roman"/>
          <w:sz w:val="24"/>
          <w:szCs w:val="24"/>
          <w:vertAlign w:val="superscript"/>
          <w:rtl w:val="0"/>
        </w:rPr>
        <w:t xml:space="preserve">5</w:t>
      </w:r>
      <w:r w:rsidDel="00000000" w:rsidR="00000000" w:rsidRPr="00000000">
        <w:rPr>
          <w:rFonts w:ascii="Times New Roman" w:cs="Times New Roman" w:eastAsia="Times New Roman" w:hAnsi="Times New Roman"/>
          <w:sz w:val="24"/>
          <w:szCs w:val="24"/>
          <w:rtl w:val="0"/>
        </w:rPr>
        <w:t xml:space="preserve">, Cuesta N.</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García M., Quilodrán F., Villalobos T., Escobar M., Venegas J.</w:t>
      </w:r>
      <w:r w:rsidDel="00000000" w:rsidR="00000000" w:rsidRPr="00000000">
        <w:rPr>
          <w:rFonts w:ascii="Times New Roman" w:cs="Times New Roman" w:eastAsia="Times New Roman" w:hAnsi="Times New Roman"/>
          <w:sz w:val="24"/>
          <w:szCs w:val="24"/>
          <w:vertAlign w:val="superscript"/>
          <w:rtl w:val="0"/>
        </w:rPr>
        <w:t xml:space="preserve">6</w:t>
      </w:r>
    </w:p>
    <w:p w:rsidR="00000000" w:rsidDel="00000000" w:rsidP="00000000" w:rsidRDefault="00000000" w:rsidRPr="00000000" w14:paraId="0000000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Residente de urología, Universidad de Valparaíso, Valparaíso.</w:t>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Interno de medicina, Universidad de Valparaíso, Valparaíso.</w:t>
      </w:r>
    </w:p>
    <w:p w:rsidR="00000000" w:rsidDel="00000000" w:rsidP="00000000" w:rsidRDefault="00000000" w:rsidRPr="00000000" w14:paraId="0000000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Interno de medicina, Centro Interdisciplinario de Estudios en Salud, CIESAL, Universidad de Valparaíso, Valparaíso.</w:t>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Interna de medicina, Universidad de Andrés Bello, Viña del Mar.</w:t>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Médico General, Servicio de Urología, Hospital Regional Rancagua, Rancagua.</w:t>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Urólogo, Servicio de Urología, Hospital Carlos Van Buren, Valparaíso.</w:t>
      </w:r>
    </w:p>
    <w:p w:rsidR="00000000" w:rsidDel="00000000" w:rsidP="00000000" w:rsidRDefault="00000000" w:rsidRPr="00000000" w14:paraId="0000000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Introducción:</w:t>
      </w:r>
      <w:r w:rsidDel="00000000" w:rsidR="00000000" w:rsidRPr="00000000">
        <w:rPr>
          <w:rFonts w:ascii="Times New Roman" w:cs="Times New Roman" w:eastAsia="Times New Roman" w:hAnsi="Times New Roman"/>
          <w:sz w:val="24"/>
          <w:szCs w:val="24"/>
          <w:rtl w:val="0"/>
        </w:rPr>
        <w:t xml:space="preserve"> En cáncer de próstata (CP) se ha descrito una discordancia</w:t>
      </w:r>
      <w:r w:rsidDel="00000000" w:rsidR="00000000" w:rsidRPr="00000000">
        <w:rPr>
          <w:rFonts w:ascii="Times New Roman" w:cs="Times New Roman" w:eastAsia="Times New Roman" w:hAnsi="Times New Roman"/>
          <w:sz w:val="24"/>
          <w:szCs w:val="24"/>
          <w:rtl w:val="0"/>
        </w:rPr>
        <w:t xml:space="preserve"> entre los hallazgos de la biopsia transrectal (BTR) y la pieza operatoria entre un 30-70%, lo que puede impactar en las decisiones terapéuticas. Estudios han reportado la utilidad de la resonancia magnética prostática multiparamétrica (RMNp) en la disminución de esta discordancia al realizar una biopsia cognitiva. El objetivo de este estudio fue evaluar el impacto entre los hallazgos de la RMmp y los respectivos informes de biopsia.</w:t>
      </w:r>
    </w:p>
    <w:p w:rsidR="00000000" w:rsidDel="00000000" w:rsidP="00000000" w:rsidRDefault="00000000" w:rsidRPr="00000000" w14:paraId="0000000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Materiales y métodos: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sz w:val="24"/>
          <w:szCs w:val="24"/>
          <w:rtl w:val="0"/>
        </w:rPr>
        <w:t xml:space="preserve">studio observacional retrospectivo de pacientes con CP en un centro hospitalario entre 2016 y 2025. Se incluyeron aquellos con RMmpP previo a la biopsia y que recibieron tratamiento quirúrgico. Se comparó la variación del grado de ISUP en la BTR con el resultado de la pieza operatoria, además de la variación del grupo de riesgo. Se empleó la prueba de Wilcoxon para evaluar la significancia estadística. </w:t>
      </w:r>
    </w:p>
    <w:p w:rsidR="00000000" w:rsidDel="00000000" w:rsidP="00000000" w:rsidRDefault="00000000" w:rsidRPr="00000000" w14:paraId="0000000F">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Resultados: </w:t>
      </w:r>
      <w:r w:rsidDel="00000000" w:rsidR="00000000" w:rsidRPr="00000000">
        <w:rPr>
          <w:rFonts w:ascii="Times New Roman" w:cs="Times New Roman" w:eastAsia="Times New Roman" w:hAnsi="Times New Roman"/>
          <w:sz w:val="24"/>
          <w:szCs w:val="24"/>
          <w:rtl w:val="0"/>
        </w:rPr>
        <w:t xml:space="preserve">De un total de 101 pacientes se incluyeron 71. La mediana fue 65 años [RIQ:60-69]. El ISUP entre la biopsia guiada por </w:t>
      </w:r>
      <w:r w:rsidDel="00000000" w:rsidR="00000000" w:rsidRPr="00000000">
        <w:rPr>
          <w:rFonts w:ascii="Times New Roman" w:cs="Times New Roman" w:eastAsia="Times New Roman" w:hAnsi="Times New Roman"/>
          <w:sz w:val="24"/>
          <w:szCs w:val="24"/>
          <w:rtl w:val="0"/>
        </w:rPr>
        <w:t xml:space="preserve">RMNp</w:t>
      </w:r>
      <w:r w:rsidDel="00000000" w:rsidR="00000000" w:rsidRPr="00000000">
        <w:rPr>
          <w:rFonts w:ascii="Times New Roman" w:cs="Times New Roman" w:eastAsia="Times New Roman" w:hAnsi="Times New Roman"/>
          <w:sz w:val="24"/>
          <w:szCs w:val="24"/>
          <w:rtl w:val="0"/>
        </w:rPr>
        <w:t xml:space="preserve"> y la pieza operatoria fue discordante en 44,5% de los pacientes </w:t>
      </w:r>
      <w:r w:rsidDel="00000000" w:rsidR="00000000" w:rsidRPr="00000000">
        <w:rPr>
          <w:rFonts w:ascii="Times New Roman" w:cs="Times New Roman" w:eastAsia="Times New Roman" w:hAnsi="Times New Roman"/>
          <w:sz w:val="24"/>
          <w:szCs w:val="24"/>
          <w:rtl w:val="0"/>
        </w:rPr>
        <w:t xml:space="preserve">(p=0.819)</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Sin tener relación con el grado de PIRADS. En un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60,6% de los casos biopsiad</w:t>
      </w:r>
      <w:r w:rsidDel="00000000" w:rsidR="00000000" w:rsidRPr="00000000">
        <w:rPr>
          <w:rFonts w:ascii="Times New Roman" w:cs="Times New Roman" w:eastAsia="Times New Roman" w:hAnsi="Times New Roman"/>
          <w:sz w:val="24"/>
          <w:szCs w:val="24"/>
          <w:rtl w:val="0"/>
        </w:rPr>
        <w:t xml:space="preserve">os existían otros focos de cáncer no visualizados en la RMmpP, </w:t>
      </w:r>
      <w:r w:rsidDel="00000000" w:rsidR="00000000" w:rsidRPr="00000000">
        <w:rPr>
          <w:rFonts w:ascii="Times New Roman" w:cs="Times New Roman" w:eastAsia="Times New Roman" w:hAnsi="Times New Roman"/>
          <w:sz w:val="24"/>
          <w:szCs w:val="24"/>
          <w:rtl w:val="0"/>
        </w:rPr>
        <w:t xml:space="preserve">dentro de los cuales </w:t>
      </w:r>
      <w:r w:rsidDel="00000000" w:rsidR="00000000" w:rsidRPr="00000000">
        <w:rPr>
          <w:rFonts w:ascii="Gungsuh" w:cs="Gungsuh" w:eastAsia="Gungsuh" w:hAnsi="Gungsuh"/>
          <w:sz w:val="24"/>
          <w:szCs w:val="24"/>
          <w:rtl w:val="0"/>
        </w:rPr>
        <w:t xml:space="preserve">74,4% corresponden a focos clínicamente significativos (≥ ISUP 2).</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 reclasificaron 13 pacientes a un grupo de riesgo superior tras la cirugía: 6 a riesgo intermedio y 7 a alto riesgo</w:t>
      </w:r>
      <w:r w:rsidDel="00000000" w:rsidR="00000000" w:rsidRPr="00000000">
        <w:rPr>
          <w:rFonts w:ascii="Times New Roman" w:cs="Times New Roman" w:eastAsia="Times New Roman" w:hAnsi="Times New Roman"/>
          <w:sz w:val="24"/>
          <w:szCs w:val="24"/>
          <w:rtl w:val="0"/>
        </w:rPr>
        <w:t xml:space="preserve">, tampoco con diferencia significativa</w:t>
      </w:r>
      <w:r w:rsidDel="00000000" w:rsidR="00000000" w:rsidRPr="00000000">
        <w:rPr>
          <w:rFonts w:ascii="Times New Roman" w:cs="Times New Roman" w:eastAsia="Times New Roman" w:hAnsi="Times New Roman"/>
          <w:sz w:val="24"/>
          <w:szCs w:val="24"/>
          <w:rtl w:val="0"/>
        </w:rPr>
        <w:t xml:space="preserve"> (mediana [RIQ] pre = 2 [2–2]; post = 2 [2–2,5]; W = 127, p = 0.804).</w:t>
      </w:r>
      <w:r w:rsidDel="00000000" w:rsidR="00000000" w:rsidRPr="00000000">
        <w:rPr>
          <w:rtl w:val="0"/>
        </w:rPr>
      </w:r>
    </w:p>
    <w:p w:rsidR="00000000" w:rsidDel="00000000" w:rsidP="00000000" w:rsidRDefault="00000000" w:rsidRPr="00000000" w14:paraId="00000010">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Conclusiones:</w:t>
      </w:r>
      <w:r w:rsidDel="00000000" w:rsidR="00000000" w:rsidRPr="00000000">
        <w:rPr>
          <w:rFonts w:ascii="Times New Roman" w:cs="Times New Roman" w:eastAsia="Times New Roman" w:hAnsi="Times New Roman"/>
          <w:sz w:val="24"/>
          <w:szCs w:val="24"/>
          <w:rtl w:val="0"/>
        </w:rPr>
        <w:t xml:space="preserve"> La RMmpP previa a la BTR mostró un impacto estadísticamente significativo en la reducción de la discordancia y en la reclasificación del riesgo en pacientes con cáncer de próstata. Es un estudio limitado por su índole retrospectiva y tamaño muestral acotado. Resulta necesario continuar investigando en esta área para aumentar la precisión diagnóstica.</w:t>
      </w:r>
      <w:r w:rsidDel="00000000" w:rsidR="00000000" w:rsidRPr="00000000">
        <w:rPr>
          <w:rtl w:val="0"/>
        </w:rPr>
      </w:r>
    </w:p>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Palabras claves:</w:t>
      </w:r>
      <w:r w:rsidDel="00000000" w:rsidR="00000000" w:rsidRPr="00000000">
        <w:rPr>
          <w:rFonts w:ascii="Times New Roman" w:cs="Times New Roman" w:eastAsia="Times New Roman" w:hAnsi="Times New Roman"/>
          <w:sz w:val="24"/>
          <w:szCs w:val="24"/>
          <w:rtl w:val="0"/>
        </w:rPr>
        <w:t xml:space="preserve"> Cáncer de próstata, Resonancia magnética de próstata, Prostatectomía radical, Biopsia transrectal prostática, Grado ISUP.</w:t>
      </w:r>
    </w:p>
    <w:p w:rsidR="00000000" w:rsidDel="00000000" w:rsidP="00000000" w:rsidRDefault="00000000" w:rsidRPr="00000000" w14:paraId="0000001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240" w:before="24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24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MAGNETIC RESONANCE IMAGING AND DISCORDANCE BETWEEN TRANSRECTAL BIOPSY AND SURGICAL SPECIMENS IN PROSTATE CANCER</w:t>
      </w:r>
    </w:p>
    <w:p w:rsidR="00000000" w:rsidDel="00000000" w:rsidP="00000000" w:rsidRDefault="00000000" w:rsidRPr="00000000" w14:paraId="00000019">
      <w:pPr>
        <w:spacing w:after="240" w:before="240" w:line="240" w:lineRule="auto"/>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b w:val="1"/>
          <w:sz w:val="24"/>
          <w:szCs w:val="24"/>
          <w:rtl w:val="0"/>
        </w:rPr>
        <w:t xml:space="preserve">Authors:</w:t>
      </w:r>
      <w:r w:rsidDel="00000000" w:rsidR="00000000" w:rsidRPr="00000000">
        <w:rPr>
          <w:rFonts w:ascii="Times New Roman" w:cs="Times New Roman" w:eastAsia="Times New Roman" w:hAnsi="Times New Roman"/>
          <w:sz w:val="24"/>
          <w:szCs w:val="24"/>
          <w:rtl w:val="0"/>
        </w:rPr>
        <w:t xml:space="preserve"> Espinoza C.</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Córdova V.</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Grandi D.</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 Bacco B.</w:t>
      </w:r>
      <w:r w:rsidDel="00000000" w:rsidR="00000000" w:rsidRPr="00000000">
        <w:rPr>
          <w:rFonts w:ascii="Times New Roman" w:cs="Times New Roman" w:eastAsia="Times New Roman" w:hAnsi="Times New Roman"/>
          <w:sz w:val="24"/>
          <w:szCs w:val="24"/>
          <w:vertAlign w:val="superscript"/>
          <w:rtl w:val="0"/>
        </w:rPr>
        <w:t xml:space="preserve">4</w:t>
      </w:r>
      <w:r w:rsidDel="00000000" w:rsidR="00000000" w:rsidRPr="00000000">
        <w:rPr>
          <w:rFonts w:ascii="Times New Roman" w:cs="Times New Roman" w:eastAsia="Times New Roman" w:hAnsi="Times New Roman"/>
          <w:sz w:val="24"/>
          <w:szCs w:val="24"/>
          <w:rtl w:val="0"/>
        </w:rPr>
        <w:t xml:space="preserve">, Villalobos V.</w:t>
      </w:r>
      <w:r w:rsidDel="00000000" w:rsidR="00000000" w:rsidRPr="00000000">
        <w:rPr>
          <w:rFonts w:ascii="Times New Roman" w:cs="Times New Roman" w:eastAsia="Times New Roman" w:hAnsi="Times New Roman"/>
          <w:sz w:val="24"/>
          <w:szCs w:val="24"/>
          <w:vertAlign w:val="superscript"/>
          <w:rtl w:val="0"/>
        </w:rPr>
        <w:t xml:space="preserve">4</w:t>
      </w:r>
      <w:r w:rsidDel="00000000" w:rsidR="00000000" w:rsidRPr="00000000">
        <w:rPr>
          <w:rFonts w:ascii="Times New Roman" w:cs="Times New Roman" w:eastAsia="Times New Roman" w:hAnsi="Times New Roman"/>
          <w:sz w:val="24"/>
          <w:szCs w:val="24"/>
          <w:rtl w:val="0"/>
        </w:rPr>
        <w:t xml:space="preserve">, Ruiz S.</w:t>
      </w:r>
      <w:r w:rsidDel="00000000" w:rsidR="00000000" w:rsidRPr="00000000">
        <w:rPr>
          <w:rFonts w:ascii="Times New Roman" w:cs="Times New Roman" w:eastAsia="Times New Roman" w:hAnsi="Times New Roman"/>
          <w:sz w:val="24"/>
          <w:szCs w:val="24"/>
          <w:vertAlign w:val="superscript"/>
          <w:rtl w:val="0"/>
        </w:rPr>
        <w:t xml:space="preserve">5</w:t>
      </w:r>
      <w:r w:rsidDel="00000000" w:rsidR="00000000" w:rsidRPr="00000000">
        <w:rPr>
          <w:rFonts w:ascii="Times New Roman" w:cs="Times New Roman" w:eastAsia="Times New Roman" w:hAnsi="Times New Roman"/>
          <w:sz w:val="24"/>
          <w:szCs w:val="24"/>
          <w:rtl w:val="0"/>
        </w:rPr>
        <w:t xml:space="preserve">, Cuesta N.</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García M., Quilodrán F., Villalobos T., Escobar M., Venegas J.</w:t>
      </w:r>
      <w:r w:rsidDel="00000000" w:rsidR="00000000" w:rsidRPr="00000000">
        <w:rPr>
          <w:rFonts w:ascii="Times New Roman" w:cs="Times New Roman" w:eastAsia="Times New Roman" w:hAnsi="Times New Roman"/>
          <w:sz w:val="24"/>
          <w:szCs w:val="24"/>
          <w:vertAlign w:val="superscript"/>
          <w:rtl w:val="0"/>
        </w:rPr>
        <w:t xml:space="preserve">6</w:t>
      </w:r>
    </w:p>
    <w:p w:rsidR="00000000" w:rsidDel="00000000" w:rsidP="00000000" w:rsidRDefault="00000000" w:rsidRPr="00000000" w14:paraId="0000001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Residente de urología, Universidad de Valparaíso, Valparaíso.</w:t>
      </w:r>
    </w:p>
    <w:p w:rsidR="00000000" w:rsidDel="00000000" w:rsidP="00000000" w:rsidRDefault="00000000" w:rsidRPr="00000000" w14:paraId="0000001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Interno de medicina, Universidad de Valparaíso, Valparaíso.</w:t>
      </w:r>
    </w:p>
    <w:p w:rsidR="00000000" w:rsidDel="00000000" w:rsidP="00000000" w:rsidRDefault="00000000" w:rsidRPr="00000000" w14:paraId="0000001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Interno de medicina, Centro Interdisciplinario de Estudios en Salud, CIESAL, Universidad de Valparaíso, Valparaíso.</w:t>
      </w:r>
    </w:p>
    <w:p w:rsidR="00000000" w:rsidDel="00000000" w:rsidP="00000000" w:rsidRDefault="00000000" w:rsidRPr="00000000" w14:paraId="0000001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Interna de medicina, Universidad de Andrés Bello, Viña del Mar.</w:t>
      </w:r>
    </w:p>
    <w:p w:rsidR="00000000" w:rsidDel="00000000" w:rsidP="00000000" w:rsidRDefault="00000000" w:rsidRPr="00000000" w14:paraId="0000001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Médico General, Servicio de Urología, Hospital Regional Rancagua, Rancagua.</w:t>
      </w:r>
    </w:p>
    <w:p w:rsidR="00000000" w:rsidDel="00000000" w:rsidP="00000000" w:rsidRDefault="00000000" w:rsidRPr="00000000" w14:paraId="0000001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Urólogo, Servicio de Urología, Hospital Carlos Van Buren, Valparaíso.</w:t>
      </w:r>
    </w:p>
    <w:p w:rsidR="00000000" w:rsidDel="00000000" w:rsidP="00000000" w:rsidRDefault="00000000" w:rsidRPr="00000000" w14:paraId="00000020">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Fonts w:ascii="Times New Roman" w:cs="Times New Roman" w:eastAsia="Times New Roman" w:hAnsi="Times New Roman"/>
          <w:sz w:val="24"/>
          <w:szCs w:val="24"/>
          <w:rtl w:val="0"/>
        </w:rPr>
        <w:t xml:space="preserve">: In prostate cancer (PCa), discordance has been described between transrectal biopsy (TRBx) and final surgical specimens between 30-79%, which may affect therapeutic decision-making. The aim of this study was to evaluate the usefulness of prostate magnetic resonance imaging (mpMRI) prior to TRBx.</w:t>
      </w:r>
    </w:p>
    <w:p w:rsidR="00000000" w:rsidDel="00000000" w:rsidP="00000000" w:rsidRDefault="00000000" w:rsidRPr="00000000" w14:paraId="00000021">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Materials and Methods:</w:t>
      </w:r>
      <w:r w:rsidDel="00000000" w:rsidR="00000000" w:rsidRPr="00000000">
        <w:rPr>
          <w:rFonts w:ascii="Times New Roman" w:cs="Times New Roman" w:eastAsia="Times New Roman" w:hAnsi="Times New Roman"/>
          <w:sz w:val="24"/>
          <w:szCs w:val="24"/>
          <w:rtl w:val="0"/>
        </w:rPr>
        <w:t xml:space="preserve"> Retrospective observational study of patients with PCa in a hospital between 2016 and 2025 was performed. Those with mpMRI prior to biopsy and who underwent surgical treatment were included. The variation in the ISUP grade on TRBx was compared with the outcome of the surgical specimen, as well as the variation in risk group. The Wilcoxon test was used to assess statistical significance.</w:t>
      </w:r>
    </w:p>
    <w:p w:rsidR="00000000" w:rsidDel="00000000" w:rsidP="00000000" w:rsidRDefault="00000000" w:rsidRPr="00000000" w14:paraId="00000022">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Results:</w:t>
      </w:r>
      <w:r w:rsidDel="00000000" w:rsidR="00000000" w:rsidRPr="00000000">
        <w:rPr>
          <w:rFonts w:ascii="Gungsuh" w:cs="Gungsuh" w:eastAsia="Gungsuh" w:hAnsi="Gungsuh"/>
          <w:sz w:val="24"/>
          <w:szCs w:val="24"/>
          <w:rtl w:val="0"/>
        </w:rPr>
        <w:t xml:space="preserve"> 71 patients were included of a total of 101. The median age was 65 years [IQR: 60-69]. The ISUP between the mpMRI-guided biopsy and the surgical specimen was discordant in 44.5% of patients (p=0.819). This was unrelated to the PIRADS grade. In 60.6% of biopsied cases, there were other foci of cancer not visualized on mpMRI, of which 74.4% corresponded to clinically significant foci (≥ ISUP 2). Thirteen patients were reclassified to a higher risk group after surgery: 6 to intermediate risk and 7 to high risk, also with no significant difference (median [IQR] pre = 2 [2–2]; post = 2 [2–2.5]; W = 127, p = 0.804).</w:t>
      </w:r>
    </w:p>
    <w:p w:rsidR="00000000" w:rsidDel="00000000" w:rsidP="00000000" w:rsidRDefault="00000000" w:rsidRPr="00000000" w14:paraId="00000023">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Conclusions</w:t>
      </w:r>
      <w:r w:rsidDel="00000000" w:rsidR="00000000" w:rsidRPr="00000000">
        <w:rPr>
          <w:rFonts w:ascii="Times New Roman" w:cs="Times New Roman" w:eastAsia="Times New Roman" w:hAnsi="Times New Roman"/>
          <w:sz w:val="24"/>
          <w:szCs w:val="24"/>
          <w:rtl w:val="0"/>
        </w:rPr>
        <w:t xml:space="preserve">: Pre-biopsy mpMRI shows a statistically significant impact in reducing discordance and in risk reclassification in patients with prostate cancer. This study is limited by its retrospective nature and small sample size. Further research is needed in this area to improve diagnostic accuracy.</w:t>
      </w:r>
    </w:p>
    <w:p w:rsidR="00000000" w:rsidDel="00000000" w:rsidP="00000000" w:rsidRDefault="00000000" w:rsidRPr="00000000" w14:paraId="00000024">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Prostate cancer, Prostate MRI, Radical prostatectomy, Transrectal prostate biopsy, ISUP score.</w:t>
      </w:r>
    </w:p>
    <w:p w:rsidR="00000000" w:rsidDel="00000000" w:rsidP="00000000" w:rsidRDefault="00000000" w:rsidRPr="00000000" w14:paraId="00000025">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RESONANCIA MAGNÉTICA PROSTÁTICA Y DISCORDANCIA ENTRE BIOPSIA TRANSRECTAL Y OPERATORIA EN CÁNCER DE PRÓSTATA</w:t>
      </w:r>
    </w:p>
    <w:p w:rsidR="00000000" w:rsidDel="00000000" w:rsidP="00000000" w:rsidRDefault="00000000" w:rsidRPr="00000000" w14:paraId="0000002E">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line="24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b w:val="1"/>
          <w:sz w:val="24"/>
          <w:szCs w:val="24"/>
          <w:rtl w:val="0"/>
        </w:rPr>
        <w:t xml:space="preserve">Autores: </w:t>
      </w:r>
      <w:r w:rsidDel="00000000" w:rsidR="00000000" w:rsidRPr="00000000">
        <w:rPr>
          <w:rFonts w:ascii="Times New Roman" w:cs="Times New Roman" w:eastAsia="Times New Roman" w:hAnsi="Times New Roman"/>
          <w:sz w:val="24"/>
          <w:szCs w:val="24"/>
          <w:rtl w:val="0"/>
        </w:rPr>
        <w:t xml:space="preserve">Espinoza C.</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Córdova V.</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Grandi D.</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 Bacco B.</w:t>
      </w:r>
      <w:r w:rsidDel="00000000" w:rsidR="00000000" w:rsidRPr="00000000">
        <w:rPr>
          <w:rFonts w:ascii="Times New Roman" w:cs="Times New Roman" w:eastAsia="Times New Roman" w:hAnsi="Times New Roman"/>
          <w:sz w:val="24"/>
          <w:szCs w:val="24"/>
          <w:vertAlign w:val="superscript"/>
          <w:rtl w:val="0"/>
        </w:rPr>
        <w:t xml:space="preserve">4</w:t>
      </w:r>
      <w:r w:rsidDel="00000000" w:rsidR="00000000" w:rsidRPr="00000000">
        <w:rPr>
          <w:rFonts w:ascii="Times New Roman" w:cs="Times New Roman" w:eastAsia="Times New Roman" w:hAnsi="Times New Roman"/>
          <w:sz w:val="24"/>
          <w:szCs w:val="24"/>
          <w:rtl w:val="0"/>
        </w:rPr>
        <w:t xml:space="preserve">, Villalobos V.</w:t>
      </w:r>
      <w:r w:rsidDel="00000000" w:rsidR="00000000" w:rsidRPr="00000000">
        <w:rPr>
          <w:rFonts w:ascii="Times New Roman" w:cs="Times New Roman" w:eastAsia="Times New Roman" w:hAnsi="Times New Roman"/>
          <w:sz w:val="24"/>
          <w:szCs w:val="24"/>
          <w:vertAlign w:val="superscript"/>
          <w:rtl w:val="0"/>
        </w:rPr>
        <w:t xml:space="preserve">4</w:t>
      </w:r>
      <w:r w:rsidDel="00000000" w:rsidR="00000000" w:rsidRPr="00000000">
        <w:rPr>
          <w:rFonts w:ascii="Times New Roman" w:cs="Times New Roman" w:eastAsia="Times New Roman" w:hAnsi="Times New Roman"/>
          <w:sz w:val="24"/>
          <w:szCs w:val="24"/>
          <w:rtl w:val="0"/>
        </w:rPr>
        <w:t xml:space="preserve">, Ruiz S.</w:t>
      </w:r>
      <w:r w:rsidDel="00000000" w:rsidR="00000000" w:rsidRPr="00000000">
        <w:rPr>
          <w:rFonts w:ascii="Times New Roman" w:cs="Times New Roman" w:eastAsia="Times New Roman" w:hAnsi="Times New Roman"/>
          <w:sz w:val="24"/>
          <w:szCs w:val="24"/>
          <w:vertAlign w:val="superscript"/>
          <w:rtl w:val="0"/>
        </w:rPr>
        <w:t xml:space="preserve">5</w:t>
      </w:r>
      <w:r w:rsidDel="00000000" w:rsidR="00000000" w:rsidRPr="00000000">
        <w:rPr>
          <w:rFonts w:ascii="Times New Roman" w:cs="Times New Roman" w:eastAsia="Times New Roman" w:hAnsi="Times New Roman"/>
          <w:sz w:val="24"/>
          <w:szCs w:val="24"/>
          <w:rtl w:val="0"/>
        </w:rPr>
        <w:t xml:space="preserve">, Cuesta N.</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García M., Quilodrán F., Villalobos T., Escobar M., Venegas J.</w:t>
      </w:r>
      <w:r w:rsidDel="00000000" w:rsidR="00000000" w:rsidRPr="00000000">
        <w:rPr>
          <w:rFonts w:ascii="Times New Roman" w:cs="Times New Roman" w:eastAsia="Times New Roman" w:hAnsi="Times New Roman"/>
          <w:sz w:val="24"/>
          <w:szCs w:val="24"/>
          <w:vertAlign w:val="superscript"/>
          <w:rtl w:val="0"/>
        </w:rPr>
        <w:t xml:space="preserve">6</w:t>
      </w:r>
    </w:p>
    <w:p w:rsidR="00000000" w:rsidDel="00000000" w:rsidP="00000000" w:rsidRDefault="00000000" w:rsidRPr="00000000" w14:paraId="0000003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Residente de urología, Universidad de Valparaíso, Valparaíso.</w:t>
      </w:r>
    </w:p>
    <w:p w:rsidR="00000000" w:rsidDel="00000000" w:rsidP="00000000" w:rsidRDefault="00000000" w:rsidRPr="00000000" w14:paraId="0000003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Interno de medicina, Universidad de Valparaíso, Valparaíso.</w:t>
      </w:r>
    </w:p>
    <w:p w:rsidR="00000000" w:rsidDel="00000000" w:rsidP="00000000" w:rsidRDefault="00000000" w:rsidRPr="00000000" w14:paraId="0000003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Interno de medicina, Centro Interdisciplinario de Estudios en Salud, CIESAL, Universidad de Valparaíso, Valparaíso.</w:t>
      </w:r>
    </w:p>
    <w:p w:rsidR="00000000" w:rsidDel="00000000" w:rsidP="00000000" w:rsidRDefault="00000000" w:rsidRPr="00000000" w14:paraId="0000003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Interna de medicina, Universidad de Andrés Bello, Viña del Mar.</w:t>
      </w:r>
    </w:p>
    <w:p w:rsidR="00000000" w:rsidDel="00000000" w:rsidP="00000000" w:rsidRDefault="00000000" w:rsidRPr="00000000" w14:paraId="0000003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Médico General, Servicio de Urología, Hospital Regional Rancagua, Rancagua.</w:t>
      </w:r>
    </w:p>
    <w:p w:rsidR="00000000" w:rsidDel="00000000" w:rsidP="00000000" w:rsidRDefault="00000000" w:rsidRPr="00000000" w14:paraId="0000003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Urólogo, Servicio de Urología, Hospital Carlos Van Buren, Valparaíso.</w:t>
      </w:r>
    </w:p>
    <w:p w:rsidR="00000000" w:rsidDel="00000000" w:rsidP="00000000" w:rsidRDefault="00000000" w:rsidRPr="00000000" w14:paraId="0000003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Introducción</w:t>
      </w:r>
      <w:r w:rsidDel="00000000" w:rsidR="00000000" w:rsidRPr="00000000">
        <w:rPr>
          <w:rtl w:val="0"/>
        </w:rPr>
      </w:r>
    </w:p>
    <w:p w:rsidR="00000000" w:rsidDel="00000000" w:rsidP="00000000" w:rsidRDefault="00000000" w:rsidRPr="00000000" w14:paraId="00000039">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precisión diagnóstica en el cáncer de próstata (CP) resulta fundamental para la correcta estratificación del riesgo y la selección de las estrategias terapéuticas óptimas. La biopsia prostática, si bien ha sido históricamente considerada el gold standard para el diagnóstico histológico, presenta </w:t>
      </w:r>
      <w:r w:rsidDel="00000000" w:rsidR="00000000" w:rsidRPr="00000000">
        <w:rPr>
          <w:rFonts w:ascii="Times New Roman" w:cs="Times New Roman" w:eastAsia="Times New Roman" w:hAnsi="Times New Roman"/>
          <w:sz w:val="24"/>
          <w:szCs w:val="24"/>
          <w:rtl w:val="0"/>
        </w:rPr>
        <w:t xml:space="preserve">una tasa considerable de discordancia respecto al grado histopatológico de la Sociedad Internacional de Patología Urológica (ISUP) </w:t>
      </w:r>
      <w:r w:rsidDel="00000000" w:rsidR="00000000" w:rsidRPr="00000000">
        <w:rPr>
          <w:rFonts w:ascii="Times New Roman" w:cs="Times New Roman" w:eastAsia="Times New Roman" w:hAnsi="Times New Roman"/>
          <w:sz w:val="24"/>
          <w:szCs w:val="24"/>
          <w:rtl w:val="0"/>
        </w:rPr>
        <w:t xml:space="preserve">definitivo obtenido en la pieza de prostatectomía radical. </w:t>
      </w:r>
      <w:r w:rsidDel="00000000" w:rsidR="00000000" w:rsidRPr="00000000">
        <w:rPr>
          <w:rFonts w:ascii="Times New Roman" w:cs="Times New Roman" w:eastAsia="Times New Roman" w:hAnsi="Times New Roman"/>
          <w:sz w:val="24"/>
          <w:szCs w:val="24"/>
          <w:rtl w:val="0"/>
        </w:rPr>
        <w:t xml:space="preserve">Esta discrepancia varía entre 30-70% </w:t>
      </w: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 se manifiesta principalmente como una </w:t>
      </w:r>
      <w:r w:rsidDel="00000000" w:rsidR="00000000" w:rsidRPr="00000000">
        <w:rPr>
          <w:rFonts w:ascii="Times New Roman" w:cs="Times New Roman" w:eastAsia="Times New Roman" w:hAnsi="Times New Roman"/>
          <w:sz w:val="24"/>
          <w:szCs w:val="24"/>
          <w:rtl w:val="0"/>
        </w:rPr>
        <w:t xml:space="preserve">sobreestimación</w:t>
      </w:r>
      <w:r w:rsidDel="00000000" w:rsidR="00000000" w:rsidRPr="00000000">
        <w:rPr>
          <w:rFonts w:ascii="Times New Roman" w:cs="Times New Roman" w:eastAsia="Times New Roman" w:hAnsi="Times New Roman"/>
          <w:sz w:val="24"/>
          <w:szCs w:val="24"/>
          <w:rtl w:val="0"/>
        </w:rPr>
        <w:t xml:space="preserve"> presente en un 22–47 % de los pacientes, mientras que la </w:t>
      </w:r>
      <w:r w:rsidDel="00000000" w:rsidR="00000000" w:rsidRPr="00000000">
        <w:rPr>
          <w:rFonts w:ascii="Times New Roman" w:cs="Times New Roman" w:eastAsia="Times New Roman" w:hAnsi="Times New Roman"/>
          <w:sz w:val="24"/>
          <w:szCs w:val="24"/>
          <w:rtl w:val="0"/>
        </w:rPr>
        <w:t xml:space="preserve">subestimación</w:t>
      </w:r>
      <w:r w:rsidDel="00000000" w:rsidR="00000000" w:rsidRPr="00000000">
        <w:rPr>
          <w:rFonts w:ascii="Times New Roman" w:cs="Times New Roman" w:eastAsia="Times New Roman" w:hAnsi="Times New Roman"/>
          <w:sz w:val="24"/>
          <w:szCs w:val="24"/>
          <w:rtl w:val="0"/>
        </w:rPr>
        <w:t xml:space="preserve"> ocurre en un rango del 5–21 % </w:t>
      </w: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Tal variabilidad diagnóstica conlleva riesgos, que van desde el subtratamiento de cánceres clínicamente relevantes hasta el sobretratamiento de lesiones indolentes, lo que subraya la imperiosa necesidad de incorporar estrategias diagnósticas más precisas </w:t>
      </w:r>
      <w:r w:rsidDel="00000000" w:rsidR="00000000" w:rsidRPr="00000000">
        <w:rPr>
          <w:rFonts w:ascii="Times New Roman" w:cs="Times New Roman" w:eastAsia="Times New Roman" w:hAnsi="Times New Roman"/>
          <w:b w:val="1"/>
          <w:sz w:val="24"/>
          <w:szCs w:val="24"/>
          <w:rtl w:val="0"/>
        </w:rPr>
        <w:t xml:space="preserve">(3, 4)</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A">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contexto, la resonancia magnética multiparamétrica de próstata (RMmpP) ha emergido como una herramienta de alto valor. Su uso, especialmente cuando se combina con biopsias dirigidas, ha demostrado ser prometedor. </w:t>
      </w:r>
      <w:r w:rsidDel="00000000" w:rsidR="00000000" w:rsidRPr="00000000">
        <w:rPr>
          <w:rFonts w:ascii="Times New Roman" w:cs="Times New Roman" w:eastAsia="Times New Roman" w:hAnsi="Times New Roman"/>
          <w:sz w:val="24"/>
          <w:szCs w:val="24"/>
          <w:rtl w:val="0"/>
        </w:rPr>
        <w:t xml:space="preserve">Destaca su reconocida utilidad en el aumento de la detección de cánceres clínicamente significativos </w:t>
      </w:r>
      <w:r w:rsidDel="00000000" w:rsidR="00000000" w:rsidRPr="00000000">
        <w:rPr>
          <w:rFonts w:ascii="Times New Roman" w:cs="Times New Roman" w:eastAsia="Times New Roman" w:hAnsi="Times New Roman"/>
          <w:b w:val="1"/>
          <w:sz w:val="24"/>
          <w:szCs w:val="24"/>
          <w:rtl w:val="0"/>
        </w:rPr>
        <w:t xml:space="preserve">(5, 6.)</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Estudios previos indican que la adición de biopsias dirigidas por RMmpP reduce significativamente la tasa de sobreestimación al compararla con la biopsia sistemática sola (27 % vs. 42 %) y mejora, en general, la concordancia entre la patología de la biopsia y el espécimen de prostatectomía radical </w:t>
      </w:r>
      <w:r w:rsidDel="00000000" w:rsidR="00000000" w:rsidRPr="00000000">
        <w:rPr>
          <w:rFonts w:ascii="Times New Roman" w:cs="Times New Roman" w:eastAsia="Times New Roman" w:hAnsi="Times New Roman"/>
          <w:b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 Si bien la RMmpP podría estar asociada a un ligero aumento en la tasa de subestimación, su impacto global en la estratificación es positivo</w:t>
      </w:r>
      <w:r w:rsidDel="00000000" w:rsidR="00000000" w:rsidRPr="00000000">
        <w:rPr>
          <w:rFonts w:ascii="Times New Roman" w:cs="Times New Roman" w:eastAsia="Times New Roman" w:hAnsi="Times New Roman"/>
          <w:b w:val="1"/>
          <w:sz w:val="24"/>
          <w:szCs w:val="24"/>
          <w:rtl w:val="0"/>
        </w:rPr>
        <w:t xml:space="preserve"> (7, 8)</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B">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pesar de la evidencia internacional, no existe evidencia a nivel local que evalúe el impacto de la RMmpP en la concordancia del grado de ISUP. </w:t>
      </w:r>
      <w:r w:rsidDel="00000000" w:rsidR="00000000" w:rsidRPr="00000000">
        <w:rPr>
          <w:rFonts w:ascii="Times New Roman" w:cs="Times New Roman" w:eastAsia="Times New Roman" w:hAnsi="Times New Roman"/>
          <w:sz w:val="24"/>
          <w:szCs w:val="24"/>
          <w:rtl w:val="0"/>
        </w:rPr>
        <w:t xml:space="preserve">El objetivo principal de este estudio fue evaluar el impacto de la RMmpP previa a la biopsia en la concordancia del ISUP entre el resultado histológico de la biopsia y el diagnóstico definitivo de la pieza de prostatectomía radical, y consecuentemente, en la reclasificación del riesgo en nuestra población de pacientes.</w:t>
      </w:r>
      <w:r w:rsidDel="00000000" w:rsidR="00000000" w:rsidRPr="00000000">
        <w:rPr>
          <w:rtl w:val="0"/>
        </w:rPr>
      </w:r>
    </w:p>
    <w:p w:rsidR="00000000" w:rsidDel="00000000" w:rsidP="00000000" w:rsidRDefault="00000000" w:rsidRPr="00000000" w14:paraId="0000003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Material y métodos</w:t>
      </w:r>
      <w:r w:rsidDel="00000000" w:rsidR="00000000" w:rsidRPr="00000000">
        <w:rPr>
          <w:rtl w:val="0"/>
        </w:rPr>
      </w:r>
    </w:p>
    <w:p w:rsidR="00000000" w:rsidDel="00000000" w:rsidP="00000000" w:rsidRDefault="00000000" w:rsidRPr="00000000" w14:paraId="0000003D">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realizó un estudio observacional retrospectivo de cohorte, siguiendo las directrices de la iniciativa STROBE, que incluyó a pacientes evaluados con diagnóstico de cáncer de próstata en el Hospital Naval Almirante Nef durante el período comprendido entre 2016 y 2025. </w:t>
      </w:r>
    </w:p>
    <w:p w:rsidR="00000000" w:rsidDel="00000000" w:rsidP="00000000" w:rsidRDefault="00000000" w:rsidRPr="00000000" w14:paraId="0000003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cohorte inicial consistió en 101 pacientes con diagnóstico de cáncer de próstata. Para el análisis final, se aplicaron estrictos criterios de exclusión, descartando a aquellos pacientes que no contaban con una RMmp previa a la toma de la biopsia prostática, así como a aquellos que no se sometieron a tratamiento quirúrgico, </w:t>
      </w:r>
      <w:r w:rsidDel="00000000" w:rsidR="00000000" w:rsidRPr="00000000">
        <w:rPr>
          <w:rFonts w:ascii="Times New Roman" w:cs="Times New Roman" w:eastAsia="Times New Roman" w:hAnsi="Times New Roman"/>
          <w:sz w:val="24"/>
          <w:szCs w:val="24"/>
          <w:rtl w:val="0"/>
        </w:rPr>
        <w:t xml:space="preserve">obteniendo una cohorte final de 71 pacientes. </w:t>
      </w:r>
      <w:r w:rsidDel="00000000" w:rsidR="00000000" w:rsidRPr="00000000">
        <w:rPr>
          <w:rFonts w:ascii="Times New Roman" w:cs="Times New Roman" w:eastAsia="Times New Roman" w:hAnsi="Times New Roman"/>
          <w:sz w:val="24"/>
          <w:szCs w:val="24"/>
          <w:rtl w:val="0"/>
        </w:rPr>
        <w:t xml:space="preserve">Las principales variables recolectadas fueron el ISUP de la biopsia preoperatoria y el ISUP definitivo de la pieza de prostatectomía radical. </w:t>
      </w:r>
    </w:p>
    <w:p w:rsidR="00000000" w:rsidDel="00000000" w:rsidP="00000000" w:rsidRDefault="00000000" w:rsidRPr="00000000" w14:paraId="0000003F">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resultados primarios se enfocaron en la concordancia del ISUP (tasa de discordancia, sobreestimación o subestimación) y la reclasificación del grupo de riesgo oncológico, analizando la variación de riesgo de los pacientes con el ISUP postoperatorio según los Grupos de Riesgo establecidos por la Asociación Europea de Urología (EAU). Además, se analizó la concordancia espacial de las lesiones descritas en la RMmpP con los hallazgos anatomopatológicos focales postoperatorios. Finalmente, para evaluar la significancia de la variación observada, se efectuó un análisis estadístico pareado utilizando la prueba de Wilcoxon para muestras pareadas para determinar si existía una diferencia estadísticamente significativa en la modificación del ISUP y del riesgo oncológico de los pacientes antes y después de la cirugía.</w:t>
      </w:r>
    </w:p>
    <w:p w:rsidR="00000000" w:rsidDel="00000000" w:rsidP="00000000" w:rsidRDefault="00000000" w:rsidRPr="00000000" w14:paraId="00000040">
      <w:pPr>
        <w:spacing w:after="240"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Resultados</w:t>
      </w:r>
      <w:r w:rsidDel="00000000" w:rsidR="00000000" w:rsidRPr="00000000">
        <w:rPr>
          <w:rtl w:val="0"/>
        </w:rPr>
      </w:r>
    </w:p>
    <w:p w:rsidR="00000000" w:rsidDel="00000000" w:rsidP="00000000" w:rsidRDefault="00000000" w:rsidRPr="00000000" w14:paraId="0000004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un total de 101 pacientes, se incluyeron finalmente 71</w:t>
      </w:r>
      <w:r w:rsidDel="00000000" w:rsidR="00000000" w:rsidRPr="00000000">
        <w:rPr>
          <w:rFonts w:ascii="Times New Roman" w:cs="Times New Roman" w:eastAsia="Times New Roman" w:hAnsi="Times New Roman"/>
          <w:sz w:val="24"/>
          <w:szCs w:val="24"/>
          <w:rtl w:val="0"/>
        </w:rPr>
        <w:t xml:space="preserve"> en la cohorte de estudio,</w:t>
      </w:r>
      <w:r w:rsidDel="00000000" w:rsidR="00000000" w:rsidRPr="00000000">
        <w:rPr>
          <w:rFonts w:ascii="Times New Roman" w:cs="Times New Roman" w:eastAsia="Times New Roman" w:hAnsi="Times New Roman"/>
          <w:sz w:val="24"/>
          <w:szCs w:val="24"/>
          <w:rtl w:val="0"/>
        </w:rPr>
        <w:t xml:space="preserve"> con una mediana de edad de </w:t>
      </w:r>
      <w:r w:rsidDel="00000000" w:rsidR="00000000" w:rsidRPr="00000000">
        <w:rPr>
          <w:rFonts w:ascii="Times New Roman" w:cs="Times New Roman" w:eastAsia="Times New Roman" w:hAnsi="Times New Roman"/>
          <w:sz w:val="24"/>
          <w:szCs w:val="24"/>
          <w:rtl w:val="0"/>
        </w:rPr>
        <w:t xml:space="preserve">65 años</w:t>
      </w:r>
      <w:r w:rsidDel="00000000" w:rsidR="00000000" w:rsidRPr="00000000">
        <w:rPr>
          <w:rFonts w:ascii="Times New Roman" w:cs="Times New Roman" w:eastAsia="Times New Roman" w:hAnsi="Times New Roman"/>
          <w:sz w:val="24"/>
          <w:szCs w:val="24"/>
          <w:rtl w:val="0"/>
        </w:rPr>
        <w:t xml:space="preserve"> [RIQ: 60-69], estos tenían una mediana de antígeno prostático específico (APE) diagnóstico de 6,7 ng/dL, un PIRADS promedio de 4,1, un ISUP preoperatorio promedio de 2,4 y postoperatorio de 2,5. Los pacientes eran principalmente de riesgo intermedio (57,7%), considerando APE diagnóstico e ISUP. Se obtuvo una mediana de seguimiento de 24 meses. (Tabla 1)</w:t>
      </w:r>
    </w:p>
    <w:p w:rsidR="00000000" w:rsidDel="00000000" w:rsidP="00000000" w:rsidRDefault="00000000" w:rsidRPr="00000000" w14:paraId="0000004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evidenció que al aumentar el PIRADS (3, 4 y 5), aumenta la detección de cáncer clínicamente significativo en la biopsia transrectal (62,5%, 77,8% y 94,1%, respectivamente). (Tabla 2)</w:t>
      </w:r>
    </w:p>
    <w:p w:rsidR="00000000" w:rsidDel="00000000" w:rsidP="00000000" w:rsidRDefault="00000000" w:rsidRPr="00000000" w14:paraId="0000004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observó que el grado de ISUP fue discordante entre el resultado de la biopsia guiada por </w:t>
      </w:r>
      <w:r w:rsidDel="00000000" w:rsidR="00000000" w:rsidRPr="00000000">
        <w:rPr>
          <w:rFonts w:ascii="Times New Roman" w:cs="Times New Roman" w:eastAsia="Times New Roman" w:hAnsi="Times New Roman"/>
          <w:sz w:val="24"/>
          <w:szCs w:val="24"/>
          <w:rtl w:val="0"/>
        </w:rPr>
        <w:t xml:space="preserve">RMmp</w:t>
      </w:r>
      <w:r w:rsidDel="00000000" w:rsidR="00000000" w:rsidRPr="00000000">
        <w:rPr>
          <w:rFonts w:ascii="Times New Roman" w:cs="Times New Roman" w:eastAsia="Times New Roman" w:hAnsi="Times New Roman"/>
          <w:sz w:val="24"/>
          <w:szCs w:val="24"/>
          <w:rtl w:val="0"/>
        </w:rPr>
        <w:t xml:space="preserve">P y la pieza operatoria en el 44,6% (n=33) de los pacientes, </w:t>
      </w:r>
      <w:r w:rsidDel="00000000" w:rsidR="00000000" w:rsidRPr="00000000">
        <w:rPr>
          <w:rFonts w:ascii="Times New Roman" w:cs="Times New Roman" w:eastAsia="Times New Roman" w:hAnsi="Times New Roman"/>
          <w:sz w:val="24"/>
          <w:szCs w:val="24"/>
          <w:rtl w:val="0"/>
        </w:rPr>
        <w:t xml:space="preserve">lo que no representó una diferencia estadísticamente significativa al comparar los valores de ISUP pre y post-quirúrgicos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W=141.0, p=0.819). Con una sobreestimación del 19,7% y subestimación de 26,8%. Esto no tenía relación con el PIRADS obtenido pre biopsia. (Tabla 3) </w:t>
      </w:r>
      <w:r w:rsidDel="00000000" w:rsidR="00000000" w:rsidRPr="00000000">
        <w:rPr>
          <w:rFonts w:ascii="Times New Roman" w:cs="Times New Roman" w:eastAsia="Times New Roman" w:hAnsi="Times New Roman"/>
          <w:sz w:val="24"/>
          <w:szCs w:val="24"/>
          <w:rtl w:val="0"/>
        </w:rPr>
        <w:t xml:space="preserve">Adicionalmente, en el 60,6%% (n=43) de los casos biopsiados existían otros focos de cáncer no visualizados en la RMmpP, siendo el compromiso bilateral el más frecuente (79%, n=34), </w:t>
      </w:r>
      <w:r w:rsidDel="00000000" w:rsidR="00000000" w:rsidRPr="00000000">
        <w:rPr>
          <w:rFonts w:ascii="Gungsuh" w:cs="Gungsuh" w:eastAsia="Gungsuh" w:hAnsi="Gungsuh"/>
          <w:sz w:val="24"/>
          <w:szCs w:val="24"/>
          <w:rtl w:val="0"/>
        </w:rPr>
        <w:t xml:space="preserve">dentro de los cuales 74,4% corresponden a focos clínicamente significativos (≥ ISUP 2).</w:t>
      </w:r>
      <w:r w:rsidDel="00000000" w:rsidR="00000000" w:rsidRPr="00000000">
        <w:rPr>
          <w:rFonts w:ascii="Times New Roman" w:cs="Times New Roman" w:eastAsia="Times New Roman" w:hAnsi="Times New Roman"/>
          <w:sz w:val="24"/>
          <w:szCs w:val="24"/>
          <w:rtl w:val="0"/>
        </w:rPr>
        <w:t xml:space="preserve"> Esto sería un 45% (n=32) del total de biopsias postoperatorias las que tenían focos </w:t>
      </w:r>
      <w:r w:rsidDel="00000000" w:rsidR="00000000" w:rsidRPr="00000000">
        <w:rPr>
          <w:rFonts w:ascii="Gungsuh" w:cs="Gungsuh" w:eastAsia="Gungsuh" w:hAnsi="Gungsuh"/>
          <w:sz w:val="24"/>
          <w:szCs w:val="24"/>
          <w:rtl w:val="0"/>
        </w:rPr>
        <w:t xml:space="preserve">≥ ISUP 2</w:t>
      </w:r>
      <w:r w:rsidDel="00000000" w:rsidR="00000000" w:rsidRPr="00000000">
        <w:rPr>
          <w:rFonts w:ascii="Times New Roman" w:cs="Times New Roman" w:eastAsia="Times New Roman" w:hAnsi="Times New Roman"/>
          <w:sz w:val="24"/>
          <w:szCs w:val="24"/>
          <w:rtl w:val="0"/>
        </w:rPr>
        <w:t xml:space="preserve"> invisibles a la resonancia. </w:t>
      </w:r>
    </w:p>
    <w:p w:rsidR="00000000" w:rsidDel="00000000" w:rsidP="00000000" w:rsidRDefault="00000000" w:rsidRPr="00000000" w14:paraId="0000004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pesar de esta alta tasa de focos significativos, la comparación global de las puntuaciones de ISUP antes y después de la prostatectomía no mostró diferencias estadísticamente significativas (mediana [RIQ] pre = 2 [1–3]; post = 2 [2–3]; W=93, p=0.403). De manera similar, la clasificación del grupo de riesgo tampoco presentó una diferencia significativa entre el momento pre y post-quirúrgico </w:t>
      </w:r>
      <w:r w:rsidDel="00000000" w:rsidR="00000000" w:rsidRPr="00000000">
        <w:rPr>
          <w:rFonts w:ascii="Times New Roman" w:cs="Times New Roman" w:eastAsia="Times New Roman" w:hAnsi="Times New Roman"/>
          <w:sz w:val="24"/>
          <w:szCs w:val="24"/>
          <w:rtl w:val="0"/>
        </w:rPr>
        <w:t xml:space="preserve">(mediana [RIQ] pre = 2 [2–2]; post = 2 [2–2,5]; W = 127, p = 0.804)</w:t>
      </w:r>
      <w:r w:rsidDel="00000000" w:rsidR="00000000" w:rsidRPr="00000000">
        <w:rPr>
          <w:rFonts w:ascii="Times New Roman" w:cs="Times New Roman" w:eastAsia="Times New Roman" w:hAnsi="Times New Roman"/>
          <w:sz w:val="24"/>
          <w:szCs w:val="24"/>
          <w:rtl w:val="0"/>
        </w:rPr>
        <w:t xml:space="preserve">. (Gráfico 1)</w:t>
      </w:r>
    </w:p>
    <w:p w:rsidR="00000000" w:rsidDel="00000000" w:rsidP="00000000" w:rsidRDefault="00000000" w:rsidRPr="00000000" w14:paraId="0000004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nivel clínico, 13 pacientes fueron reclasificados a un grupo de riesgo superior tras la cirugía: 6 a riesgo intermedio y 7 a alto riesgo. Ningún paciente escaló de grupo de riesgo bajo (ISUP 1) a riesgo alto (ISUP 4-5).</w:t>
      </w:r>
    </w:p>
    <w:p w:rsidR="00000000" w:rsidDel="00000000" w:rsidP="00000000" w:rsidRDefault="00000000" w:rsidRPr="00000000" w14:paraId="0000004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Cabe destacar que del total de discordantes 2 pacientes tuvieron recidiva bioquímica, estos variaron de riesgo bajo a intermedio y de intermedio a alto riesgo y fue con PSA-DT &gt; 1 año.</w:t>
      </w:r>
      <w:r w:rsidDel="00000000" w:rsidR="00000000" w:rsidRPr="00000000">
        <w:rPr>
          <w:rtl w:val="0"/>
        </w:rPr>
      </w:r>
    </w:p>
    <w:p w:rsidR="00000000" w:rsidDel="00000000" w:rsidP="00000000" w:rsidRDefault="00000000" w:rsidRPr="00000000" w14:paraId="0000004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Discusión</w:t>
      </w:r>
    </w:p>
    <w:p w:rsidR="00000000" w:rsidDel="00000000" w:rsidP="00000000" w:rsidRDefault="00000000" w:rsidRPr="00000000" w14:paraId="0000004E">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interpretación de nuestros hallazgos debe realizarse considerando las limitaciones inherentes al diseño del estudio. Este trabajo presenta un diseño retrospectivo y observacional, lo cual, por definición, restringe nuestra capacidad para establecer relaciones de causalidad sólidas entre las variables observadas. A esto se suma un número acotado de pacientes evaluados, lo que disminuye el poder estadístico y limita la generalización de los resultados a poblaciones más amplias. Intrínsecamente asociado a la naturaleza retrospectiva se encuentra el potencial sesgo de conocimiento: al pertenecer las piezas operatorias a pacientes cuya patología y tratamiento previo ya eran conocidos, pudo existir una influencia sutil en la interpretación histológica o quirúrgica de los resultados. </w:t>
      </w:r>
    </w:p>
    <w:p w:rsidR="00000000" w:rsidDel="00000000" w:rsidP="00000000" w:rsidRDefault="00000000" w:rsidRPr="00000000" w14:paraId="0000005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 pesar de estas limitaciones, los resultados sobre la discordancia del grado de ISUP entre la biopsia y la pieza de prostatectomía radical (44,6% de los casos) no son ajenos a los hallazgos observados en la literatura, tanto a nivel local (9) como internacional (10). Esta discordancia es un reflejo directo de las limitaciones propias de la evaluación histológica de ISUP: al ser una técnica basada en la evaluación de una muestra biológica acotada, la biopsia conlleva un inevitable sesgo de muestreo. Esta desventaja inherente dificulta la evaluación precisa de la realidad patológica de un cáncer de próstata que, a menudo, es multifocal y altamente heterogéneo. El obstáculo se encuentra, sin duda, presente a nivel de la tecnología actual de muestreo. </w:t>
      </w:r>
      <w:r w:rsidDel="00000000" w:rsidR="00000000" w:rsidRPr="00000000">
        <w:rPr>
          <w:rtl w:val="0"/>
        </w:rPr>
      </w:r>
    </w:p>
    <w:p w:rsidR="00000000" w:rsidDel="00000000" w:rsidP="00000000" w:rsidRDefault="00000000" w:rsidRPr="00000000" w14:paraId="00000052">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Conclusiones</w:t>
      </w:r>
    </w:p>
    <w:p w:rsidR="00000000" w:rsidDel="00000000" w:rsidP="00000000" w:rsidRDefault="00000000" w:rsidRPr="00000000" w14:paraId="00000054">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diferencias entre biopsias no fueron estadísticamente significativas lo que podría indicar que la RMmpP tiene un rol en la disminución de la discordancia. Sin embargo, falta un tamaño muestral adecuado y diseño metodológico respectivo para demostrar asociación. De todas formas, es necesario incorporar pruebas moleculares o desarrollar nuevas técnicas para la toma de biopsias se hace imperativa para superar las limitaciones histológicas y así poder determinar la conducta terapéutica más adecuada y precisa para cada paciente. </w:t>
      </w:r>
      <w:r w:rsidDel="00000000" w:rsidR="00000000" w:rsidRPr="00000000">
        <w:rPr>
          <w:rtl w:val="0"/>
        </w:rPr>
      </w:r>
    </w:p>
    <w:p w:rsidR="00000000" w:rsidDel="00000000" w:rsidP="00000000" w:rsidRDefault="00000000" w:rsidRPr="00000000" w14:paraId="0000005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Bibliografía</w:t>
      </w:r>
    </w:p>
    <w:p w:rsidR="00000000" w:rsidDel="00000000" w:rsidP="00000000" w:rsidRDefault="00000000" w:rsidRPr="00000000" w14:paraId="00000058">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numPr>
          <w:ilvl w:val="0"/>
          <w:numId w:val="2"/>
        </w:numPr>
        <w:spacing w:after="0" w:afterAutospacing="0" w:line="240" w:lineRule="auto"/>
        <w:ind w:left="720" w:hanging="36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Gonzalgo ML, Bastian PJ, Mangold LA, Trock BJ, Epstein JI, Walsh PC, et al. Relationship between primary Gleason pattern on needle biopsy and clinicopathologic outcomes among men with Gleason score 7 adenocarcinoma of the prostate. Urology. 2006 Jan;67(1):115–9.</w:t>
      </w:r>
    </w:p>
    <w:p w:rsidR="00000000" w:rsidDel="00000000" w:rsidP="00000000" w:rsidRDefault="00000000" w:rsidRPr="00000000" w14:paraId="0000005A">
      <w:pPr>
        <w:numPr>
          <w:ilvl w:val="0"/>
          <w:numId w:val="2"/>
        </w:numPr>
        <w:spacing w:after="0" w:afterAutospacing="0" w:line="240" w:lineRule="auto"/>
        <w:ind w:left="720" w:hanging="36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Güner E, S Abdulmuttalip, Preoperative and Postoperative Gleason Score Correlation of Patients Who Underwent  Radical Prostatectomy. Bull Urooncol 2019;18:35-37</w:t>
      </w:r>
    </w:p>
    <w:p w:rsidR="00000000" w:rsidDel="00000000" w:rsidP="00000000" w:rsidRDefault="00000000" w:rsidRPr="00000000" w14:paraId="0000005B">
      <w:pPr>
        <w:numPr>
          <w:ilvl w:val="0"/>
          <w:numId w:val="2"/>
        </w:numPr>
        <w:spacing w:after="0" w:afterAutospacing="0" w:line="240" w:lineRule="auto"/>
        <w:ind w:left="720" w:hanging="36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Goel S, Shoag JE, Gross MD, Al Hussein Al Awamlh B, Robinson B, Khani F, et al. Concordance Between Biopsy and Radical Prostatectomy Pathology in the Era of Targeted Biopsy: A Systematic Review and Meta-analysis. European Urology Oncology. 2020 Feb;3(1):10–20.</w:t>
      </w:r>
    </w:p>
    <w:p w:rsidR="00000000" w:rsidDel="00000000" w:rsidP="00000000" w:rsidRDefault="00000000" w:rsidRPr="00000000" w14:paraId="0000005C">
      <w:pPr>
        <w:numPr>
          <w:ilvl w:val="0"/>
          <w:numId w:val="2"/>
        </w:numPr>
        <w:spacing w:after="0" w:afterAutospacing="0" w:line="240" w:lineRule="auto"/>
        <w:ind w:left="720" w:hanging="36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Eastham JA, Auffenberg GB, Barocas DA, Chou R, Crispino T, Davis JW, et al. Clinically Localized Prostate Cancer: AUA/ASTRO Guideline, Part I: Introduction, Risk Assessment, Staging, and Risk-Based Management. Journal of Urology. 2022 Jul;208(1):10–8.</w:t>
      </w:r>
    </w:p>
    <w:p w:rsidR="00000000" w:rsidDel="00000000" w:rsidP="00000000" w:rsidRDefault="00000000" w:rsidRPr="00000000" w14:paraId="0000005D">
      <w:pPr>
        <w:numPr>
          <w:ilvl w:val="0"/>
          <w:numId w:val="2"/>
        </w:numPr>
        <w:spacing w:after="0" w:afterAutospacing="0" w:line="240" w:lineRule="auto"/>
        <w:ind w:left="720" w:hanging="360"/>
        <w:jc w:val="both"/>
        <w:rPr>
          <w:rFonts w:ascii="Times New Roman" w:cs="Times New Roman" w:eastAsia="Times New Roman" w:hAnsi="Times New Roman"/>
          <w:color w:val="333333"/>
          <w:sz w:val="24"/>
          <w:szCs w:val="24"/>
          <w:u w:val="none"/>
        </w:rPr>
      </w:pPr>
      <w:r w:rsidDel="00000000" w:rsidR="00000000" w:rsidRPr="00000000">
        <w:rPr>
          <w:rFonts w:ascii="Times New Roman" w:cs="Times New Roman" w:eastAsia="Times New Roman" w:hAnsi="Times New Roman"/>
          <w:color w:val="333333"/>
          <w:sz w:val="24"/>
          <w:szCs w:val="24"/>
          <w:rtl w:val="0"/>
        </w:rPr>
        <w:t xml:space="preserve">Dell’Oglio P, Stabile A, Dias BH, Gandaglia G, Mazzone E, Fossati N, et al. Impact of multiparametric MRI and MRI-targeted biopsy on pre-therapeutic risk assessment in prostate cancer patients candidate for radical prostatectomy. World Journal of Urology. 2018 Jun 9;37(2):221–34.</w:t>
      </w:r>
    </w:p>
    <w:p w:rsidR="00000000" w:rsidDel="00000000" w:rsidP="00000000" w:rsidRDefault="00000000" w:rsidRPr="00000000" w14:paraId="0000005E">
      <w:pPr>
        <w:numPr>
          <w:ilvl w:val="0"/>
          <w:numId w:val="2"/>
        </w:numPr>
        <w:spacing w:after="0" w:afterAutospacing="0" w:line="240" w:lineRule="auto"/>
        <w:ind w:left="720" w:hanging="36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Ward RD, Purysko AS. Magnetic Resonance Imaging of Prostate Adenocarcinoma. Topics in Magnetic Resonance Imaging. 2020 Feb;29(1):17–30.</w:t>
      </w:r>
    </w:p>
    <w:p w:rsidR="00000000" w:rsidDel="00000000" w:rsidP="00000000" w:rsidRDefault="00000000" w:rsidRPr="00000000" w14:paraId="0000005F">
      <w:pPr>
        <w:numPr>
          <w:ilvl w:val="0"/>
          <w:numId w:val="2"/>
        </w:numPr>
        <w:spacing w:after="0" w:afterAutospacing="0" w:line="240" w:lineRule="auto"/>
        <w:ind w:left="720" w:hanging="360"/>
        <w:jc w:val="both"/>
        <w:rPr>
          <w:rFonts w:ascii="Times New Roman" w:cs="Times New Roman" w:eastAsia="Times New Roman" w:hAnsi="Times New Roman"/>
          <w:color w:val="333333"/>
          <w:sz w:val="24"/>
          <w:szCs w:val="24"/>
          <w:u w:val="none"/>
        </w:rPr>
      </w:pPr>
      <w:r w:rsidDel="00000000" w:rsidR="00000000" w:rsidRPr="00000000">
        <w:rPr>
          <w:rFonts w:ascii="Times New Roman" w:cs="Times New Roman" w:eastAsia="Times New Roman" w:hAnsi="Times New Roman"/>
          <w:color w:val="333333"/>
          <w:sz w:val="24"/>
          <w:szCs w:val="24"/>
          <w:rtl w:val="0"/>
        </w:rPr>
        <w:t xml:space="preserve">Weinstein IC, Wu X, Hill A, Brennan D, Danly Omil-Lima, Spyridon Basourakos, et al. Impact of Magnetic Resonance Imaging Targeting on Pathologic Upgrading and Downgrading at Prostatectomy: A Systematic Review and Meta-analysis. European Urology Oncology. 2023 Aug 1;6(4):355–65.</w:t>
      </w:r>
    </w:p>
    <w:p w:rsidR="00000000" w:rsidDel="00000000" w:rsidP="00000000" w:rsidRDefault="00000000" w:rsidRPr="00000000" w14:paraId="00000060">
      <w:pPr>
        <w:numPr>
          <w:ilvl w:val="0"/>
          <w:numId w:val="2"/>
        </w:numPr>
        <w:spacing w:after="0" w:afterAutospacing="0" w:line="240" w:lineRule="auto"/>
        <w:ind w:left="720" w:hanging="36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Cornford P, van den Bergh RCN, Briers E, Van den Broeck T, Brunckhorst O, Darraugh J, et al. EAU-EANM-ESTRO-ESUR-ISUP-SIOG Guidelines on Prostate Cancer-2024 Update. Part I: Screening, Diagnosis, and Local Treatment with Curative Intent. European Urology. 2024 Apr 12;86(2):S0302-2838(24)022541.</w:t>
      </w:r>
    </w:p>
    <w:p w:rsidR="00000000" w:rsidDel="00000000" w:rsidP="00000000" w:rsidRDefault="00000000" w:rsidRPr="00000000" w14:paraId="00000061">
      <w:pPr>
        <w:numPr>
          <w:ilvl w:val="0"/>
          <w:numId w:val="2"/>
        </w:numPr>
        <w:spacing w:after="0" w:afterAutospacing="0" w:line="240" w:lineRule="auto"/>
        <w:ind w:left="720" w:hanging="360"/>
        <w:jc w:val="both"/>
        <w:rPr>
          <w:rFonts w:ascii="Times New Roman" w:cs="Times New Roman" w:eastAsia="Times New Roman" w:hAnsi="Times New Roman"/>
          <w:color w:val="333333"/>
          <w:sz w:val="24"/>
          <w:szCs w:val="24"/>
          <w:u w:val="none"/>
        </w:rPr>
      </w:pPr>
      <w:r w:rsidDel="00000000" w:rsidR="00000000" w:rsidRPr="00000000">
        <w:rPr>
          <w:rFonts w:ascii="Times New Roman" w:cs="Times New Roman" w:eastAsia="Times New Roman" w:hAnsi="Times New Roman"/>
          <w:color w:val="333333"/>
          <w:sz w:val="24"/>
          <w:szCs w:val="24"/>
          <w:rtl w:val="0"/>
        </w:rPr>
        <w:t xml:space="preserve">Pavlovic J, Catoia F, González V, Figueroa L, Zambrano A. Concordancia del score de Gleason entre la biopsia de próstata y la prostatectomía radical. Rev Chil Urol. 2012;77(2).</w:t>
      </w:r>
    </w:p>
    <w:p w:rsidR="00000000" w:rsidDel="00000000" w:rsidP="00000000" w:rsidRDefault="00000000" w:rsidRPr="00000000" w14:paraId="00000062">
      <w:pPr>
        <w:numPr>
          <w:ilvl w:val="0"/>
          <w:numId w:val="2"/>
        </w:numPr>
        <w:spacing w:after="160" w:line="240" w:lineRule="auto"/>
        <w:ind w:left="720" w:hanging="360"/>
        <w:jc w:val="both"/>
        <w:rPr>
          <w:rFonts w:ascii="Times New Roman" w:cs="Times New Roman" w:eastAsia="Times New Roman" w:hAnsi="Times New Roman"/>
          <w:color w:val="333333"/>
          <w:sz w:val="24"/>
          <w:szCs w:val="24"/>
          <w:u w:val="none"/>
        </w:rPr>
      </w:pPr>
      <w:r w:rsidDel="00000000" w:rsidR="00000000" w:rsidRPr="00000000">
        <w:rPr>
          <w:rFonts w:ascii="Times New Roman" w:cs="Times New Roman" w:eastAsia="Times New Roman" w:hAnsi="Times New Roman"/>
          <w:color w:val="333333"/>
          <w:sz w:val="24"/>
          <w:szCs w:val="24"/>
          <w:rtl w:val="0"/>
        </w:rPr>
        <w:t xml:space="preserve">Cohen MS, Coogan CL, Kim H, Lahey Clinic Medical Center Experience and an International Meta-Analysis. Comparing the Gleason Prostate Biopsy and Gleason Prostatectomy Grading System. Eur Urol. 2008;54:371–81.</w:t>
      </w:r>
    </w:p>
    <w:p w:rsidR="00000000" w:rsidDel="00000000" w:rsidP="00000000" w:rsidRDefault="00000000" w:rsidRPr="00000000" w14:paraId="00000063">
      <w:pPr>
        <w:spacing w:after="160" w:line="24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64">
      <w:pPr>
        <w:spacing w:after="160" w:line="24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65">
      <w:pPr>
        <w:spacing w:after="160" w:line="24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66">
      <w:pPr>
        <w:spacing w:after="160" w:line="24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67">
      <w:pPr>
        <w:spacing w:after="160" w:line="24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68">
      <w:pPr>
        <w:spacing w:after="160" w:line="24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69">
      <w:pPr>
        <w:spacing w:after="160" w:line="24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6A">
      <w:pPr>
        <w:spacing w:after="160" w:line="24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6B">
      <w:pPr>
        <w:spacing w:after="160" w:line="24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6C">
      <w:pPr>
        <w:spacing w:after="160" w:line="24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6D">
      <w:pPr>
        <w:spacing w:after="160" w:line="24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6E">
      <w:pPr>
        <w:spacing w:after="160" w:line="24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6F">
      <w:pPr>
        <w:spacing w:after="160" w:line="24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70">
      <w:pPr>
        <w:spacing w:after="160" w:line="24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71">
      <w:pPr>
        <w:spacing w:after="160" w:line="24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72">
      <w:pPr>
        <w:spacing w:after="160" w:line="24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73">
      <w:pPr>
        <w:spacing w:after="160" w:line="240" w:lineRule="auto"/>
        <w:jc w:val="both"/>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Anexos</w:t>
      </w:r>
    </w:p>
    <w:p w:rsidR="00000000" w:rsidDel="00000000" w:rsidP="00000000" w:rsidRDefault="00000000" w:rsidRPr="00000000" w14:paraId="00000074">
      <w:pPr>
        <w:spacing w:after="160" w:line="240" w:lineRule="auto"/>
        <w:jc w:val="both"/>
        <w:rPr>
          <w:rFonts w:ascii="Times New Roman" w:cs="Times New Roman" w:eastAsia="Times New Roman" w:hAnsi="Times New Roman"/>
          <w:b w:val="1"/>
          <w:color w:val="333333"/>
          <w:sz w:val="24"/>
          <w:szCs w:val="24"/>
        </w:rPr>
      </w:pPr>
      <w:r w:rsidDel="00000000" w:rsidR="00000000" w:rsidRPr="00000000">
        <w:rPr>
          <w:rtl w:val="0"/>
        </w:rPr>
      </w:r>
    </w:p>
    <w:p w:rsidR="00000000" w:rsidDel="00000000" w:rsidP="00000000" w:rsidRDefault="00000000" w:rsidRPr="00000000" w14:paraId="00000075">
      <w:pPr>
        <w:spacing w:after="160" w:line="240" w:lineRule="auto"/>
        <w:jc w:val="both"/>
        <w:rPr/>
      </w:pPr>
      <w:r w:rsidDel="00000000" w:rsidR="00000000" w:rsidRPr="00000000">
        <w:rPr>
          <w:rFonts w:ascii="Times New Roman" w:cs="Times New Roman" w:eastAsia="Times New Roman" w:hAnsi="Times New Roman"/>
          <w:b w:val="1"/>
          <w:color w:val="333333"/>
          <w:sz w:val="24"/>
          <w:szCs w:val="24"/>
          <w:rtl w:val="0"/>
        </w:rPr>
        <w:t xml:space="preserve">Tabla 1. </w:t>
      </w:r>
      <w:r w:rsidDel="00000000" w:rsidR="00000000" w:rsidRPr="00000000">
        <w:rPr>
          <w:rFonts w:ascii="Times New Roman" w:cs="Times New Roman" w:eastAsia="Times New Roman" w:hAnsi="Times New Roman"/>
          <w:color w:val="333333"/>
          <w:sz w:val="24"/>
          <w:szCs w:val="24"/>
          <w:rtl w:val="0"/>
        </w:rPr>
        <w:t xml:space="preserve">Descripción general de la población.</w:t>
      </w:r>
      <w:r w:rsidDel="00000000" w:rsidR="00000000" w:rsidRPr="00000000">
        <w:rPr>
          <w:rtl w:val="0"/>
        </w:rPr>
      </w:r>
    </w:p>
    <w:tbl>
      <w:tblPr>
        <w:tblStyle w:val="Table1"/>
        <w:tblW w:w="660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20"/>
      </w:tblPr>
      <w:tblGrid>
        <w:gridCol w:w="4170"/>
        <w:gridCol w:w="2430"/>
        <w:tblGridChange w:id="0">
          <w:tblGrid>
            <w:gridCol w:w="4170"/>
            <w:gridCol w:w="2430"/>
          </w:tblGrid>
        </w:tblGridChange>
      </w:tblGrid>
      <w:tr>
        <w:trPr>
          <w:cantSplit w:val="0"/>
          <w:trHeight w:val="580" w:hRule="atLeast"/>
          <w:tblHeader w:val="0"/>
        </w:trPr>
        <w:tc>
          <w:tcPr>
            <w:gridSpan w:val="2"/>
            <w:tcMar>
              <w:top w:w="80.0" w:type="dxa"/>
              <w:left w:w="140.0" w:type="dxa"/>
              <w:bottom w:w="80.0" w:type="dxa"/>
              <w:right w:w="140.0" w:type="dxa"/>
            </w:tcMar>
            <w:vAlign w:val="top"/>
          </w:tcPr>
          <w:p w:rsidR="00000000" w:rsidDel="00000000" w:rsidP="00000000" w:rsidRDefault="00000000" w:rsidRPr="00000000" w14:paraId="0000007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Caracterización</w:t>
            </w:r>
          </w:p>
        </w:tc>
      </w:tr>
      <w:tr>
        <w:trPr>
          <w:cantSplit w:val="0"/>
          <w:trHeight w:val="580" w:hRule="atLeast"/>
          <w:tblHeader w:val="0"/>
        </w:trPr>
        <w:tc>
          <w:tcPr>
            <w:tcMar>
              <w:top w:w="80.0" w:type="dxa"/>
              <w:left w:w="140.0" w:type="dxa"/>
              <w:bottom w:w="80.0" w:type="dxa"/>
              <w:right w:w="140.0" w:type="dxa"/>
            </w:tcMar>
            <w:vAlign w:val="top"/>
          </w:tcPr>
          <w:p w:rsidR="00000000" w:rsidDel="00000000" w:rsidP="00000000" w:rsidRDefault="00000000" w:rsidRPr="00000000" w14:paraId="0000007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Mediana Edad (años)</w:t>
            </w: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7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 [RIQ:9]</w:t>
            </w:r>
          </w:p>
        </w:tc>
      </w:tr>
      <w:tr>
        <w:trPr>
          <w:cantSplit w:val="0"/>
          <w:trHeight w:val="580" w:hRule="atLeast"/>
          <w:tblHeader w:val="0"/>
        </w:trPr>
        <w:tc>
          <w:tcPr>
            <w:tcMar>
              <w:top w:w="80.0" w:type="dxa"/>
              <w:left w:w="140.0" w:type="dxa"/>
              <w:bottom w:w="80.0" w:type="dxa"/>
              <w:right w:w="140.0" w:type="dxa"/>
            </w:tcMar>
            <w:vAlign w:val="top"/>
          </w:tcPr>
          <w:p w:rsidR="00000000" w:rsidDel="00000000" w:rsidP="00000000" w:rsidRDefault="00000000" w:rsidRPr="00000000" w14:paraId="0000007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Mediana PSA diagnóstico (ng/dL)</w:t>
            </w: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7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[RIQ:4]</w:t>
            </w:r>
          </w:p>
        </w:tc>
      </w:tr>
      <w:tr>
        <w:trPr>
          <w:cantSplit w:val="0"/>
          <w:trHeight w:val="580" w:hRule="atLeast"/>
          <w:tblHeader w:val="0"/>
        </w:trPr>
        <w:tc>
          <w:tcPr>
            <w:tcMar>
              <w:top w:w="80.0" w:type="dxa"/>
              <w:left w:w="140.0" w:type="dxa"/>
              <w:bottom w:w="80.0" w:type="dxa"/>
              <w:right w:w="140.0" w:type="dxa"/>
            </w:tcMar>
            <w:vAlign w:val="top"/>
          </w:tcPr>
          <w:p w:rsidR="00000000" w:rsidDel="00000000" w:rsidP="00000000" w:rsidRDefault="00000000" w:rsidRPr="00000000" w14:paraId="0000007C">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Promedio PIRADS</w:t>
            </w:r>
          </w:p>
        </w:tc>
        <w:tc>
          <w:tcPr>
            <w:tcMar>
              <w:top w:w="80.0" w:type="dxa"/>
              <w:left w:w="140.0" w:type="dxa"/>
              <w:bottom w:w="80.0" w:type="dxa"/>
              <w:right w:w="140.0" w:type="dxa"/>
            </w:tcMar>
            <w:vAlign w:val="top"/>
          </w:tcPr>
          <w:p w:rsidR="00000000" w:rsidDel="00000000" w:rsidP="00000000" w:rsidRDefault="00000000" w:rsidRPr="00000000" w14:paraId="0000007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r>
      <w:tr>
        <w:trPr>
          <w:cantSplit w:val="0"/>
          <w:trHeight w:val="580" w:hRule="atLeast"/>
          <w:tblHeader w:val="0"/>
        </w:trPr>
        <w:tc>
          <w:tcPr>
            <w:tcMar>
              <w:top w:w="80.0" w:type="dxa"/>
              <w:left w:w="140.0" w:type="dxa"/>
              <w:bottom w:w="80.0" w:type="dxa"/>
              <w:right w:w="140.0" w:type="dxa"/>
            </w:tcMar>
            <w:vAlign w:val="top"/>
          </w:tcPr>
          <w:p w:rsidR="00000000" w:rsidDel="00000000" w:rsidP="00000000" w:rsidRDefault="00000000" w:rsidRPr="00000000" w14:paraId="0000007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Promedio ISUP biopsia transrectal</w:t>
            </w:r>
          </w:p>
        </w:tc>
        <w:tc>
          <w:tcPr>
            <w:tcMar>
              <w:top w:w="80.0" w:type="dxa"/>
              <w:left w:w="140.0" w:type="dxa"/>
              <w:bottom w:w="80.0" w:type="dxa"/>
              <w:right w:w="140.0" w:type="dxa"/>
            </w:tcMar>
            <w:vAlign w:val="top"/>
          </w:tcPr>
          <w:p w:rsidR="00000000" w:rsidDel="00000000" w:rsidP="00000000" w:rsidRDefault="00000000" w:rsidRPr="00000000" w14:paraId="0000007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rHeight w:val="580" w:hRule="atLeast"/>
          <w:tblHeader w:val="0"/>
        </w:trPr>
        <w:tc>
          <w:tcPr>
            <w:tcMar>
              <w:top w:w="80.0" w:type="dxa"/>
              <w:left w:w="140.0" w:type="dxa"/>
              <w:bottom w:w="80.0" w:type="dxa"/>
              <w:right w:w="140.0" w:type="dxa"/>
            </w:tcMar>
            <w:vAlign w:val="top"/>
          </w:tcPr>
          <w:p w:rsidR="00000000" w:rsidDel="00000000" w:rsidP="00000000" w:rsidRDefault="00000000" w:rsidRPr="00000000" w14:paraId="00000080">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Promedio ISUP biopsia operatoria</w:t>
            </w:r>
          </w:p>
        </w:tc>
        <w:tc>
          <w:tcPr>
            <w:tcMar>
              <w:top w:w="80.0" w:type="dxa"/>
              <w:left w:w="140.0" w:type="dxa"/>
              <w:bottom w:w="80.0" w:type="dxa"/>
              <w:right w:w="140.0" w:type="dxa"/>
            </w:tcMar>
            <w:vAlign w:val="top"/>
          </w:tcPr>
          <w:p w:rsidR="00000000" w:rsidDel="00000000" w:rsidP="00000000" w:rsidRDefault="00000000" w:rsidRPr="00000000" w14:paraId="0000008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r>
        <w:trPr>
          <w:cantSplit w:val="0"/>
          <w:trHeight w:val="2235" w:hRule="atLeast"/>
          <w:tblHeader w:val="0"/>
        </w:trPr>
        <w:tc>
          <w:tcPr>
            <w:tcMar>
              <w:top w:w="80.0" w:type="dxa"/>
              <w:left w:w="140.0" w:type="dxa"/>
              <w:bottom w:w="80.0" w:type="dxa"/>
              <w:right w:w="140.0" w:type="dxa"/>
            </w:tcMar>
            <w:vAlign w:val="top"/>
          </w:tcPr>
          <w:p w:rsidR="00000000" w:rsidDel="00000000" w:rsidP="00000000" w:rsidRDefault="00000000" w:rsidRPr="00000000" w14:paraId="0000008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Grupo de riesgo:</w:t>
            </w:r>
            <w:r w:rsidDel="00000000" w:rsidR="00000000" w:rsidRPr="00000000">
              <w:rPr>
                <w:rtl w:val="0"/>
              </w:rPr>
            </w:r>
          </w:p>
          <w:p w:rsidR="00000000" w:rsidDel="00000000" w:rsidP="00000000" w:rsidRDefault="00000000" w:rsidRPr="00000000" w14:paraId="00000083">
            <w:pPr>
              <w:widowControl w:val="0"/>
              <w:numPr>
                <w:ilvl w:val="0"/>
                <w:numId w:val="5"/>
              </w:numPr>
              <w:spacing w:line="240" w:lineRule="auto"/>
              <w:ind w:left="45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Bajo</w:t>
            </w:r>
          </w:p>
          <w:p w:rsidR="00000000" w:rsidDel="00000000" w:rsidP="00000000" w:rsidRDefault="00000000" w:rsidRPr="00000000" w14:paraId="00000084">
            <w:pPr>
              <w:widowControl w:val="0"/>
              <w:numPr>
                <w:ilvl w:val="0"/>
                <w:numId w:val="5"/>
              </w:numPr>
              <w:spacing w:line="240" w:lineRule="auto"/>
              <w:ind w:left="45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Intermedio</w:t>
            </w:r>
          </w:p>
          <w:p w:rsidR="00000000" w:rsidDel="00000000" w:rsidP="00000000" w:rsidRDefault="00000000" w:rsidRPr="00000000" w14:paraId="00000085">
            <w:pPr>
              <w:widowControl w:val="0"/>
              <w:numPr>
                <w:ilvl w:val="0"/>
                <w:numId w:val="4"/>
              </w:numPr>
              <w:spacing w:line="240" w:lineRule="auto"/>
              <w:ind w:left="1286.93" w:hanging="36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Favorable</w:t>
            </w:r>
          </w:p>
          <w:p w:rsidR="00000000" w:rsidDel="00000000" w:rsidP="00000000" w:rsidRDefault="00000000" w:rsidRPr="00000000" w14:paraId="00000086">
            <w:pPr>
              <w:widowControl w:val="0"/>
              <w:numPr>
                <w:ilvl w:val="0"/>
                <w:numId w:val="4"/>
              </w:numPr>
              <w:spacing w:line="240" w:lineRule="auto"/>
              <w:ind w:left="1286.93" w:hanging="36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Desfavorable</w:t>
            </w:r>
          </w:p>
          <w:p w:rsidR="00000000" w:rsidDel="00000000" w:rsidP="00000000" w:rsidRDefault="00000000" w:rsidRPr="00000000" w14:paraId="00000087">
            <w:pPr>
              <w:widowControl w:val="0"/>
              <w:numPr>
                <w:ilvl w:val="0"/>
                <w:numId w:val="3"/>
              </w:numPr>
              <w:spacing w:line="240" w:lineRule="auto"/>
              <w:ind w:left="45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Alto</w:t>
            </w:r>
          </w:p>
          <w:p w:rsidR="00000000" w:rsidDel="00000000" w:rsidP="00000000" w:rsidRDefault="00000000" w:rsidRPr="00000000" w14:paraId="00000088">
            <w:pPr>
              <w:widowControl w:val="0"/>
              <w:numPr>
                <w:ilvl w:val="0"/>
                <w:numId w:val="1"/>
              </w:numPr>
              <w:spacing w:line="240" w:lineRule="auto"/>
              <w:ind w:left="1286.93" w:hanging="36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Localmente avanzado</w:t>
            </w:r>
          </w:p>
        </w:tc>
        <w:tc>
          <w:tcPr>
            <w:tcMar>
              <w:top w:w="80.0" w:type="dxa"/>
              <w:left w:w="140.0" w:type="dxa"/>
              <w:bottom w:w="80.0" w:type="dxa"/>
              <w:right w:w="140.0" w:type="dxa"/>
            </w:tcMar>
            <w:vAlign w:val="top"/>
          </w:tcPr>
          <w:p w:rsidR="00000000" w:rsidDel="00000000" w:rsidP="00000000" w:rsidRDefault="00000000" w:rsidRPr="00000000" w14:paraId="0000008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19,7%</w:t>
            </w:r>
          </w:p>
          <w:p w:rsidR="00000000" w:rsidDel="00000000" w:rsidP="00000000" w:rsidRDefault="00000000" w:rsidRPr="00000000" w14:paraId="0000008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57,7%</w:t>
            </w:r>
          </w:p>
          <w:p w:rsidR="00000000" w:rsidDel="00000000" w:rsidP="00000000" w:rsidRDefault="00000000" w:rsidRPr="00000000" w14:paraId="0000008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43,7%</w:t>
            </w:r>
          </w:p>
          <w:p w:rsidR="00000000" w:rsidDel="00000000" w:rsidP="00000000" w:rsidRDefault="00000000" w:rsidRPr="00000000" w14:paraId="0000008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p w:rsidR="00000000" w:rsidDel="00000000" w:rsidP="00000000" w:rsidRDefault="00000000" w:rsidRPr="00000000" w14:paraId="0000008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22,5%</w:t>
            </w:r>
          </w:p>
          <w:p w:rsidR="00000000" w:rsidDel="00000000" w:rsidP="00000000" w:rsidRDefault="00000000" w:rsidRPr="00000000" w14:paraId="0000008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80" w:hRule="atLeast"/>
          <w:tblHeader w:val="0"/>
        </w:trPr>
        <w:tc>
          <w:tcPr>
            <w:tcMar>
              <w:top w:w="80.0" w:type="dxa"/>
              <w:left w:w="140.0" w:type="dxa"/>
              <w:bottom w:w="80.0" w:type="dxa"/>
              <w:right w:w="140.0" w:type="dxa"/>
            </w:tcMar>
            <w:vAlign w:val="top"/>
          </w:tcPr>
          <w:p w:rsidR="00000000" w:rsidDel="00000000" w:rsidP="00000000" w:rsidRDefault="00000000" w:rsidRPr="00000000" w14:paraId="00000090">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Mediana de seguimiento (meses)</w:t>
            </w:r>
          </w:p>
        </w:tc>
        <w:tc>
          <w:tcPr>
            <w:tcMar>
              <w:top w:w="80.0" w:type="dxa"/>
              <w:left w:w="140.0" w:type="dxa"/>
              <w:bottom w:w="80.0" w:type="dxa"/>
              <w:right w:w="140.0" w:type="dxa"/>
            </w:tcMar>
            <w:vAlign w:val="top"/>
          </w:tcPr>
          <w:p w:rsidR="00000000" w:rsidDel="00000000" w:rsidP="00000000" w:rsidRDefault="00000000" w:rsidRPr="00000000" w14:paraId="0000009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[RIQ:48]</w:t>
            </w:r>
          </w:p>
        </w:tc>
      </w:tr>
    </w:tbl>
    <w:p w:rsidR="00000000" w:rsidDel="00000000" w:rsidP="00000000" w:rsidRDefault="00000000" w:rsidRPr="00000000" w14:paraId="00000092">
      <w:pPr>
        <w:spacing w:after="160" w:line="24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93">
      <w:pPr>
        <w:spacing w:after="160" w:line="240" w:lineRule="auto"/>
        <w:jc w:val="both"/>
        <w:rPr/>
      </w:pPr>
      <w:r w:rsidDel="00000000" w:rsidR="00000000" w:rsidRPr="00000000">
        <w:rPr>
          <w:rFonts w:ascii="Times New Roman" w:cs="Times New Roman" w:eastAsia="Times New Roman" w:hAnsi="Times New Roman"/>
          <w:b w:val="1"/>
          <w:color w:val="333333"/>
          <w:sz w:val="24"/>
          <w:szCs w:val="24"/>
          <w:rtl w:val="0"/>
        </w:rPr>
        <w:t xml:space="preserve">Tabla 2. </w:t>
      </w:r>
      <w:r w:rsidDel="00000000" w:rsidR="00000000" w:rsidRPr="00000000">
        <w:rPr>
          <w:rFonts w:ascii="Times New Roman" w:cs="Times New Roman" w:eastAsia="Times New Roman" w:hAnsi="Times New Roman"/>
          <w:color w:val="333333"/>
          <w:sz w:val="24"/>
          <w:szCs w:val="24"/>
          <w:rtl w:val="0"/>
        </w:rPr>
        <w:t xml:space="preserve">Grupos de riesgo según PIRADS. Detección de cáncer clínicamente significativo según PIRADS.</w:t>
      </w:r>
      <w:r w:rsidDel="00000000" w:rsidR="00000000" w:rsidRPr="00000000">
        <w:rPr>
          <w:rtl w:val="0"/>
        </w:rPr>
      </w:r>
    </w:p>
    <w:tbl>
      <w:tblPr>
        <w:tblStyle w:val="Table2"/>
        <w:tblW w:w="84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20"/>
      </w:tblPr>
      <w:tblGrid>
        <w:gridCol w:w="1230"/>
        <w:gridCol w:w="1260"/>
        <w:gridCol w:w="1335"/>
        <w:gridCol w:w="1020"/>
        <w:gridCol w:w="1470"/>
        <w:gridCol w:w="1035"/>
        <w:gridCol w:w="1110"/>
        <w:tblGridChange w:id="0">
          <w:tblGrid>
            <w:gridCol w:w="1230"/>
            <w:gridCol w:w="1260"/>
            <w:gridCol w:w="1335"/>
            <w:gridCol w:w="1020"/>
            <w:gridCol w:w="1470"/>
            <w:gridCol w:w="1035"/>
            <w:gridCol w:w="1110"/>
          </w:tblGrid>
        </w:tblGridChange>
      </w:tblGrid>
      <w:tr>
        <w:trPr>
          <w:cantSplit w:val="0"/>
          <w:trHeight w:val="720" w:hRule="atLeast"/>
          <w:tblHeader w:val="0"/>
        </w:trPr>
        <w:tc>
          <w:tcPr>
            <w:tcMar>
              <w:top w:w="80.0" w:type="dxa"/>
              <w:left w:w="140.0" w:type="dxa"/>
              <w:bottom w:w="80.0" w:type="dxa"/>
              <w:right w:w="140.0" w:type="dxa"/>
            </w:tcMar>
            <w:vAlign w:val="top"/>
          </w:tcPr>
          <w:p w:rsidR="00000000" w:rsidDel="00000000" w:rsidP="00000000" w:rsidRDefault="00000000" w:rsidRPr="00000000" w14:paraId="0000009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PIRADS</w:t>
            </w:r>
          </w:p>
        </w:tc>
        <w:tc>
          <w:tcPr>
            <w:tcMar>
              <w:top w:w="80.0" w:type="dxa"/>
              <w:left w:w="140.0" w:type="dxa"/>
              <w:bottom w:w="80.0" w:type="dxa"/>
              <w:right w:w="140.0" w:type="dxa"/>
            </w:tcMar>
            <w:vAlign w:val="top"/>
          </w:tcPr>
          <w:p w:rsidR="00000000" w:rsidDel="00000000" w:rsidP="00000000" w:rsidRDefault="00000000" w:rsidRPr="00000000" w14:paraId="0000009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PSA dg ng/dL</w:t>
            </w:r>
          </w:p>
        </w:tc>
        <w:tc>
          <w:tcPr>
            <w:tcMar>
              <w:top w:w="80.0" w:type="dxa"/>
              <w:left w:w="140.0" w:type="dxa"/>
              <w:bottom w:w="80.0" w:type="dxa"/>
              <w:right w:w="140.0" w:type="dxa"/>
            </w:tcMar>
            <w:vAlign w:val="top"/>
          </w:tcPr>
          <w:p w:rsidR="00000000" w:rsidDel="00000000" w:rsidP="00000000" w:rsidRDefault="00000000" w:rsidRPr="00000000" w14:paraId="0000009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Densidad de PSA </w:t>
            </w:r>
          </w:p>
        </w:tc>
        <w:tc>
          <w:tcPr>
            <w:gridSpan w:val="3"/>
            <w:tcMar>
              <w:top w:w="80.0" w:type="dxa"/>
              <w:left w:w="140.0" w:type="dxa"/>
              <w:bottom w:w="80.0" w:type="dxa"/>
              <w:right w:w="140.0" w:type="dxa"/>
            </w:tcMar>
            <w:vAlign w:val="top"/>
          </w:tcPr>
          <w:p w:rsidR="00000000" w:rsidDel="00000000" w:rsidP="00000000" w:rsidRDefault="00000000" w:rsidRPr="00000000" w14:paraId="0000009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Grupo de riesgo inicial</w:t>
            </w:r>
          </w:p>
          <w:p w:rsidR="00000000" w:rsidDel="00000000" w:rsidP="00000000" w:rsidRDefault="00000000" w:rsidRPr="00000000" w14:paraId="0000009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pacientes)</w:t>
            </w:r>
          </w:p>
        </w:tc>
        <w:tc>
          <w:tcPr>
            <w:tcMar>
              <w:top w:w="80.0" w:type="dxa"/>
              <w:left w:w="140.0" w:type="dxa"/>
              <w:bottom w:w="80.0" w:type="dxa"/>
              <w:right w:w="140.0" w:type="dxa"/>
            </w:tcMar>
            <w:vAlign w:val="top"/>
          </w:tcPr>
          <w:p w:rsidR="00000000" w:rsidDel="00000000" w:rsidP="00000000" w:rsidRDefault="00000000" w:rsidRPr="00000000" w14:paraId="0000009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 ISUP 2</w:t>
            </w:r>
          </w:p>
        </w:tc>
      </w:tr>
      <w:tr>
        <w:trPr>
          <w:cantSplit w:val="0"/>
          <w:trHeight w:val="720" w:hRule="atLeast"/>
          <w:tblHeader w:val="0"/>
        </w:trPr>
        <w:tc>
          <w:tcPr>
            <w:tcMar>
              <w:top w:w="80.0" w:type="dxa"/>
              <w:left w:w="140.0" w:type="dxa"/>
              <w:bottom w:w="80.0" w:type="dxa"/>
              <w:right w:w="140.0" w:type="dxa"/>
            </w:tcMar>
            <w:vAlign w:val="top"/>
          </w:tcPr>
          <w:p w:rsidR="00000000" w:rsidDel="00000000" w:rsidP="00000000" w:rsidRDefault="00000000" w:rsidRPr="00000000" w14:paraId="0000009C">
            <w:pPr>
              <w:widowControl w:val="0"/>
              <w:spacing w:line="240" w:lineRule="auto"/>
              <w:jc w:val="center"/>
              <w:rPr>
                <w:rFonts w:ascii="Times New Roman" w:cs="Times New Roman" w:eastAsia="Times New Roman" w:hAnsi="Times New Roman"/>
                <w:b w:val="1"/>
                <w:sz w:val="24"/>
                <w:szCs w:val="24"/>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9D">
            <w:pPr>
              <w:widowControl w:val="0"/>
              <w:spacing w:line="240" w:lineRule="auto"/>
              <w:jc w:val="center"/>
              <w:rPr>
                <w:rFonts w:ascii="Times New Roman" w:cs="Times New Roman" w:eastAsia="Times New Roman" w:hAnsi="Times New Roman"/>
                <w:b w:val="1"/>
                <w:sz w:val="24"/>
                <w:szCs w:val="24"/>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9E">
            <w:pPr>
              <w:widowControl w:val="0"/>
              <w:spacing w:line="240" w:lineRule="auto"/>
              <w:jc w:val="center"/>
              <w:rPr>
                <w:rFonts w:ascii="Times New Roman" w:cs="Times New Roman" w:eastAsia="Times New Roman" w:hAnsi="Times New Roman"/>
                <w:b w:val="1"/>
                <w:sz w:val="24"/>
                <w:szCs w:val="24"/>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9F">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Bajo</w:t>
            </w:r>
          </w:p>
        </w:tc>
        <w:tc>
          <w:tcPr>
            <w:tcMar>
              <w:top w:w="80.0" w:type="dxa"/>
              <w:left w:w="140.0" w:type="dxa"/>
              <w:bottom w:w="80.0" w:type="dxa"/>
              <w:right w:w="140.0" w:type="dxa"/>
            </w:tcMar>
            <w:vAlign w:val="top"/>
          </w:tcPr>
          <w:p w:rsidR="00000000" w:rsidDel="00000000" w:rsidP="00000000" w:rsidRDefault="00000000" w:rsidRPr="00000000" w14:paraId="000000A0">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Intermedio</w:t>
            </w:r>
          </w:p>
        </w:tc>
        <w:tc>
          <w:tcPr>
            <w:tcMar>
              <w:top w:w="80.0" w:type="dxa"/>
              <w:left w:w="140.0" w:type="dxa"/>
              <w:bottom w:w="80.0" w:type="dxa"/>
              <w:right w:w="140.0" w:type="dxa"/>
            </w:tcMar>
            <w:vAlign w:val="top"/>
          </w:tcPr>
          <w:p w:rsidR="00000000" w:rsidDel="00000000" w:rsidP="00000000" w:rsidRDefault="00000000" w:rsidRPr="00000000" w14:paraId="000000A1">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Alto</w:t>
            </w:r>
          </w:p>
        </w:tc>
        <w:tc>
          <w:tcPr>
            <w:tcMar>
              <w:top w:w="80.0" w:type="dxa"/>
              <w:left w:w="140.0" w:type="dxa"/>
              <w:bottom w:w="80.0" w:type="dxa"/>
              <w:right w:w="140.0" w:type="dxa"/>
            </w:tcMar>
            <w:vAlign w:val="top"/>
          </w:tcPr>
          <w:p w:rsidR="00000000" w:rsidDel="00000000" w:rsidP="00000000" w:rsidRDefault="00000000" w:rsidRPr="00000000" w14:paraId="000000A2">
            <w:pPr>
              <w:widowControl w:val="0"/>
              <w:spacing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720" w:hRule="atLeast"/>
          <w:tblHeader w:val="0"/>
        </w:trPr>
        <w:tc>
          <w:tcPr>
            <w:tcMar>
              <w:top w:w="80.0" w:type="dxa"/>
              <w:left w:w="140.0" w:type="dxa"/>
              <w:bottom w:w="80.0" w:type="dxa"/>
              <w:right w:w="140.0" w:type="dxa"/>
            </w:tcMar>
            <w:vAlign w:val="top"/>
          </w:tcPr>
          <w:p w:rsidR="00000000" w:rsidDel="00000000" w:rsidP="00000000" w:rsidRDefault="00000000" w:rsidRPr="00000000" w14:paraId="000000A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A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w:t>
            </w:r>
          </w:p>
        </w:tc>
        <w:tc>
          <w:tcPr>
            <w:tcMar>
              <w:top w:w="80.0" w:type="dxa"/>
              <w:left w:w="140.0" w:type="dxa"/>
              <w:bottom w:w="80.0" w:type="dxa"/>
              <w:right w:w="140.0" w:type="dxa"/>
            </w:tcMar>
            <w:vAlign w:val="top"/>
          </w:tcPr>
          <w:p w:rsidR="00000000" w:rsidDel="00000000" w:rsidP="00000000" w:rsidRDefault="00000000" w:rsidRPr="00000000" w14:paraId="000000A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0,242</w:t>
            </w:r>
          </w:p>
        </w:tc>
        <w:tc>
          <w:tcPr>
            <w:tcMar>
              <w:top w:w="80.0" w:type="dxa"/>
              <w:left w:w="140.0" w:type="dxa"/>
              <w:bottom w:w="80.0" w:type="dxa"/>
              <w:right w:w="140.0" w:type="dxa"/>
            </w:tcMar>
            <w:vAlign w:val="top"/>
          </w:tcPr>
          <w:p w:rsidR="00000000" w:rsidDel="00000000" w:rsidP="00000000" w:rsidRDefault="00000000" w:rsidRPr="00000000" w14:paraId="000000A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80.0" w:type="dxa"/>
              <w:left w:w="140.0" w:type="dxa"/>
              <w:bottom w:w="80.0" w:type="dxa"/>
              <w:right w:w="140.0" w:type="dxa"/>
            </w:tcMar>
            <w:vAlign w:val="top"/>
          </w:tcPr>
          <w:p w:rsidR="00000000" w:rsidDel="00000000" w:rsidP="00000000" w:rsidRDefault="00000000" w:rsidRPr="00000000" w14:paraId="000000A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80.0" w:type="dxa"/>
              <w:left w:w="140.0" w:type="dxa"/>
              <w:bottom w:w="80.0" w:type="dxa"/>
              <w:right w:w="140.0" w:type="dxa"/>
            </w:tcMar>
            <w:vAlign w:val="top"/>
          </w:tcPr>
          <w:p w:rsidR="00000000" w:rsidDel="00000000" w:rsidP="00000000" w:rsidRDefault="00000000" w:rsidRPr="00000000" w14:paraId="000000A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80.0" w:type="dxa"/>
              <w:left w:w="140.0" w:type="dxa"/>
              <w:bottom w:w="80.0" w:type="dxa"/>
              <w:right w:w="140.0" w:type="dxa"/>
            </w:tcMar>
            <w:vAlign w:val="top"/>
          </w:tcPr>
          <w:p w:rsidR="00000000" w:rsidDel="00000000" w:rsidP="00000000" w:rsidRDefault="00000000" w:rsidRPr="00000000" w14:paraId="000000A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20" w:hRule="atLeast"/>
          <w:tblHeader w:val="0"/>
        </w:trPr>
        <w:tc>
          <w:tcPr>
            <w:tcMar>
              <w:top w:w="80.0" w:type="dxa"/>
              <w:left w:w="140.0" w:type="dxa"/>
              <w:bottom w:w="80.0" w:type="dxa"/>
              <w:right w:w="140.0" w:type="dxa"/>
            </w:tcMar>
            <w:vAlign w:val="top"/>
          </w:tcPr>
          <w:p w:rsidR="00000000" w:rsidDel="00000000" w:rsidP="00000000" w:rsidRDefault="00000000" w:rsidRPr="00000000" w14:paraId="000000AA">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Mar>
              <w:top w:w="80.0" w:type="dxa"/>
              <w:left w:w="140.0" w:type="dxa"/>
              <w:bottom w:w="80.0" w:type="dxa"/>
              <w:right w:w="140.0" w:type="dxa"/>
            </w:tcMar>
            <w:vAlign w:val="top"/>
          </w:tcPr>
          <w:p w:rsidR="00000000" w:rsidDel="00000000" w:rsidP="00000000" w:rsidRDefault="00000000" w:rsidRPr="00000000" w14:paraId="000000A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 (DE:2,7)</w:t>
            </w:r>
          </w:p>
        </w:tc>
        <w:tc>
          <w:tcPr>
            <w:tcMar>
              <w:top w:w="80.0" w:type="dxa"/>
              <w:left w:w="140.0" w:type="dxa"/>
              <w:bottom w:w="80.0" w:type="dxa"/>
              <w:right w:w="140.0" w:type="dxa"/>
            </w:tcMar>
            <w:vAlign w:val="top"/>
          </w:tcPr>
          <w:p w:rsidR="00000000" w:rsidDel="00000000" w:rsidP="00000000" w:rsidRDefault="00000000" w:rsidRPr="00000000" w14:paraId="000000A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0,236 (DE:0,07)</w:t>
            </w:r>
          </w:p>
        </w:tc>
        <w:tc>
          <w:tcPr>
            <w:tcMar>
              <w:top w:w="80.0" w:type="dxa"/>
              <w:left w:w="140.0" w:type="dxa"/>
              <w:bottom w:w="80.0" w:type="dxa"/>
              <w:right w:w="140.0" w:type="dxa"/>
            </w:tcMar>
            <w:vAlign w:val="top"/>
          </w:tcPr>
          <w:p w:rsidR="00000000" w:rsidDel="00000000" w:rsidP="00000000" w:rsidRDefault="00000000" w:rsidRPr="00000000" w14:paraId="000000A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80.0" w:type="dxa"/>
              <w:left w:w="140.0" w:type="dxa"/>
              <w:bottom w:w="80.0" w:type="dxa"/>
              <w:right w:w="140.0" w:type="dxa"/>
            </w:tcMar>
            <w:vAlign w:val="top"/>
          </w:tcPr>
          <w:p w:rsidR="00000000" w:rsidDel="00000000" w:rsidP="00000000" w:rsidRDefault="00000000" w:rsidRPr="00000000" w14:paraId="000000A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80.0" w:type="dxa"/>
              <w:left w:w="140.0" w:type="dxa"/>
              <w:bottom w:w="80.0" w:type="dxa"/>
              <w:right w:w="140.0" w:type="dxa"/>
            </w:tcMar>
            <w:vAlign w:val="top"/>
          </w:tcPr>
          <w:p w:rsidR="00000000" w:rsidDel="00000000" w:rsidP="00000000" w:rsidRDefault="00000000" w:rsidRPr="00000000" w14:paraId="000000A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Mar>
              <w:top w:w="80.0" w:type="dxa"/>
              <w:left w:w="140.0" w:type="dxa"/>
              <w:bottom w:w="80.0" w:type="dxa"/>
              <w:right w:w="140.0" w:type="dxa"/>
            </w:tcMar>
            <w:vAlign w:val="top"/>
          </w:tcPr>
          <w:p w:rsidR="00000000" w:rsidDel="00000000" w:rsidP="00000000" w:rsidRDefault="00000000" w:rsidRPr="00000000" w14:paraId="000000B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62,5%</w:t>
            </w:r>
          </w:p>
        </w:tc>
      </w:tr>
      <w:tr>
        <w:trPr>
          <w:cantSplit w:val="0"/>
          <w:trHeight w:val="720" w:hRule="atLeast"/>
          <w:tblHeader w:val="0"/>
        </w:trPr>
        <w:tc>
          <w:tcPr>
            <w:tcMar>
              <w:top w:w="80.0" w:type="dxa"/>
              <w:left w:w="140.0" w:type="dxa"/>
              <w:bottom w:w="80.0" w:type="dxa"/>
              <w:right w:w="140.0" w:type="dxa"/>
            </w:tcMar>
            <w:vAlign w:val="top"/>
          </w:tcPr>
          <w:p w:rsidR="00000000" w:rsidDel="00000000" w:rsidP="00000000" w:rsidRDefault="00000000" w:rsidRPr="00000000" w14:paraId="000000B1">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Mar>
              <w:top w:w="80.0" w:type="dxa"/>
              <w:left w:w="140.0" w:type="dxa"/>
              <w:bottom w:w="80.0" w:type="dxa"/>
              <w:right w:w="140.0" w:type="dxa"/>
            </w:tcMar>
            <w:vAlign w:val="top"/>
          </w:tcPr>
          <w:p w:rsidR="00000000" w:rsidDel="00000000" w:rsidP="00000000" w:rsidRDefault="00000000" w:rsidRPr="00000000" w14:paraId="000000B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 (DE:3,7)</w:t>
            </w:r>
          </w:p>
        </w:tc>
        <w:tc>
          <w:tcPr>
            <w:tcMar>
              <w:top w:w="80.0" w:type="dxa"/>
              <w:left w:w="140.0" w:type="dxa"/>
              <w:bottom w:w="80.0" w:type="dxa"/>
              <w:right w:w="140.0" w:type="dxa"/>
            </w:tcMar>
            <w:vAlign w:val="top"/>
          </w:tcPr>
          <w:p w:rsidR="00000000" w:rsidDel="00000000" w:rsidP="00000000" w:rsidRDefault="00000000" w:rsidRPr="00000000" w14:paraId="000000B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0,201 (DE:0,09)</w:t>
            </w:r>
          </w:p>
        </w:tc>
        <w:tc>
          <w:tcPr>
            <w:tcMar>
              <w:top w:w="80.0" w:type="dxa"/>
              <w:left w:w="140.0" w:type="dxa"/>
              <w:bottom w:w="80.0" w:type="dxa"/>
              <w:right w:w="140.0" w:type="dxa"/>
            </w:tcMar>
            <w:vAlign w:val="top"/>
          </w:tcPr>
          <w:p w:rsidR="00000000" w:rsidDel="00000000" w:rsidP="00000000" w:rsidRDefault="00000000" w:rsidRPr="00000000" w14:paraId="000000B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Mar>
              <w:top w:w="80.0" w:type="dxa"/>
              <w:left w:w="140.0" w:type="dxa"/>
              <w:bottom w:w="80.0" w:type="dxa"/>
              <w:right w:w="140.0" w:type="dxa"/>
            </w:tcMar>
            <w:vAlign w:val="top"/>
          </w:tcPr>
          <w:p w:rsidR="00000000" w:rsidDel="00000000" w:rsidP="00000000" w:rsidRDefault="00000000" w:rsidRPr="00000000" w14:paraId="000000B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Mar>
              <w:top w:w="80.0" w:type="dxa"/>
              <w:left w:w="140.0" w:type="dxa"/>
              <w:bottom w:w="80.0" w:type="dxa"/>
              <w:right w:w="140.0" w:type="dxa"/>
            </w:tcMar>
            <w:vAlign w:val="top"/>
          </w:tcPr>
          <w:p w:rsidR="00000000" w:rsidDel="00000000" w:rsidP="00000000" w:rsidRDefault="00000000" w:rsidRPr="00000000" w14:paraId="000000B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Mar>
              <w:top w:w="80.0" w:type="dxa"/>
              <w:left w:w="140.0" w:type="dxa"/>
              <w:bottom w:w="80.0" w:type="dxa"/>
              <w:right w:w="140.0" w:type="dxa"/>
            </w:tcMar>
            <w:vAlign w:val="top"/>
          </w:tcPr>
          <w:p w:rsidR="00000000" w:rsidDel="00000000" w:rsidP="00000000" w:rsidRDefault="00000000" w:rsidRPr="00000000" w14:paraId="000000B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77,8%</w:t>
            </w:r>
          </w:p>
        </w:tc>
      </w:tr>
      <w:tr>
        <w:trPr>
          <w:cantSplit w:val="0"/>
          <w:trHeight w:val="720" w:hRule="atLeast"/>
          <w:tblHeader w:val="0"/>
        </w:trPr>
        <w:tc>
          <w:tcPr>
            <w:tcMar>
              <w:top w:w="80.0" w:type="dxa"/>
              <w:left w:w="140.0" w:type="dxa"/>
              <w:bottom w:w="80.0" w:type="dxa"/>
              <w:right w:w="140.0" w:type="dxa"/>
            </w:tcMar>
            <w:vAlign w:val="top"/>
          </w:tcPr>
          <w:p w:rsidR="00000000" w:rsidDel="00000000" w:rsidP="00000000" w:rsidRDefault="00000000" w:rsidRPr="00000000" w14:paraId="000000B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Mar>
              <w:top w:w="80.0" w:type="dxa"/>
              <w:left w:w="140.0" w:type="dxa"/>
              <w:bottom w:w="80.0" w:type="dxa"/>
              <w:right w:w="140.0" w:type="dxa"/>
            </w:tcMar>
            <w:vAlign w:val="top"/>
          </w:tcPr>
          <w:p w:rsidR="00000000" w:rsidDel="00000000" w:rsidP="00000000" w:rsidRDefault="00000000" w:rsidRPr="00000000" w14:paraId="000000B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 (DE:5,9)</w:t>
            </w:r>
          </w:p>
        </w:tc>
        <w:tc>
          <w:tcPr>
            <w:tcMar>
              <w:top w:w="80.0" w:type="dxa"/>
              <w:left w:w="140.0" w:type="dxa"/>
              <w:bottom w:w="80.0" w:type="dxa"/>
              <w:right w:w="140.0" w:type="dxa"/>
            </w:tcMar>
            <w:vAlign w:val="top"/>
          </w:tcPr>
          <w:p w:rsidR="00000000" w:rsidDel="00000000" w:rsidP="00000000" w:rsidRDefault="00000000" w:rsidRPr="00000000" w14:paraId="000000B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0,143 (DE:0,05)</w:t>
            </w:r>
          </w:p>
        </w:tc>
        <w:tc>
          <w:tcPr>
            <w:tcMar>
              <w:top w:w="80.0" w:type="dxa"/>
              <w:left w:w="140.0" w:type="dxa"/>
              <w:bottom w:w="80.0" w:type="dxa"/>
              <w:right w:w="140.0" w:type="dxa"/>
            </w:tcMar>
            <w:vAlign w:val="top"/>
          </w:tcPr>
          <w:p w:rsidR="00000000" w:rsidDel="00000000" w:rsidP="00000000" w:rsidRDefault="00000000" w:rsidRPr="00000000" w14:paraId="000000B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80.0" w:type="dxa"/>
              <w:left w:w="140.0" w:type="dxa"/>
              <w:bottom w:w="80.0" w:type="dxa"/>
              <w:right w:w="140.0" w:type="dxa"/>
            </w:tcMar>
            <w:vAlign w:val="top"/>
          </w:tcPr>
          <w:p w:rsidR="00000000" w:rsidDel="00000000" w:rsidP="00000000" w:rsidRDefault="00000000" w:rsidRPr="00000000" w14:paraId="000000B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Mar>
              <w:top w:w="80.0" w:type="dxa"/>
              <w:left w:w="140.0" w:type="dxa"/>
              <w:bottom w:w="80.0" w:type="dxa"/>
              <w:right w:w="140.0" w:type="dxa"/>
            </w:tcMar>
            <w:vAlign w:val="top"/>
          </w:tcPr>
          <w:p w:rsidR="00000000" w:rsidDel="00000000" w:rsidP="00000000" w:rsidRDefault="00000000" w:rsidRPr="00000000" w14:paraId="000000B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Mar>
              <w:top w:w="80.0" w:type="dxa"/>
              <w:left w:w="140.0" w:type="dxa"/>
              <w:bottom w:w="80.0" w:type="dxa"/>
              <w:right w:w="140.0" w:type="dxa"/>
            </w:tcMar>
            <w:vAlign w:val="top"/>
          </w:tcPr>
          <w:p w:rsidR="00000000" w:rsidDel="00000000" w:rsidP="00000000" w:rsidRDefault="00000000" w:rsidRPr="00000000" w14:paraId="000000B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94,1%</w:t>
            </w:r>
          </w:p>
        </w:tc>
      </w:tr>
    </w:tbl>
    <w:p w:rsidR="00000000" w:rsidDel="00000000" w:rsidP="00000000" w:rsidRDefault="00000000" w:rsidRPr="00000000" w14:paraId="000000BF">
      <w:pPr>
        <w:spacing w:after="160" w:line="24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C0">
      <w:pPr>
        <w:spacing w:after="160" w:line="240" w:lineRule="auto"/>
        <w:jc w:val="both"/>
        <w:rPr/>
      </w:pPr>
      <w:r w:rsidDel="00000000" w:rsidR="00000000" w:rsidRPr="00000000">
        <w:rPr>
          <w:rFonts w:ascii="Times New Roman" w:cs="Times New Roman" w:eastAsia="Times New Roman" w:hAnsi="Times New Roman"/>
          <w:b w:val="1"/>
          <w:color w:val="333333"/>
          <w:sz w:val="24"/>
          <w:szCs w:val="24"/>
          <w:rtl w:val="0"/>
        </w:rPr>
        <w:t xml:space="preserve">Tabla 3.</w:t>
      </w:r>
      <w:r w:rsidDel="00000000" w:rsidR="00000000" w:rsidRPr="00000000">
        <w:rPr>
          <w:rFonts w:ascii="Times New Roman" w:cs="Times New Roman" w:eastAsia="Times New Roman" w:hAnsi="Times New Roman"/>
          <w:color w:val="333333"/>
          <w:sz w:val="24"/>
          <w:szCs w:val="24"/>
          <w:rtl w:val="0"/>
        </w:rPr>
        <w:t xml:space="preserve"> Porcentaje de discordancia con respecto a PIRADS. </w:t>
      </w:r>
      <w:r w:rsidDel="00000000" w:rsidR="00000000" w:rsidRPr="00000000">
        <w:rPr>
          <w:rtl w:val="0"/>
        </w:rPr>
      </w:r>
    </w:p>
    <w:tbl>
      <w:tblPr>
        <w:tblStyle w:val="Table3"/>
        <w:tblW w:w="8505.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20"/>
      </w:tblPr>
      <w:tblGrid>
        <w:gridCol w:w="1860"/>
        <w:gridCol w:w="2025"/>
        <w:gridCol w:w="2235"/>
        <w:gridCol w:w="2385"/>
        <w:tblGridChange w:id="0">
          <w:tblGrid>
            <w:gridCol w:w="1860"/>
            <w:gridCol w:w="2025"/>
            <w:gridCol w:w="2235"/>
            <w:gridCol w:w="2385"/>
          </w:tblGrid>
        </w:tblGridChange>
      </w:tblGrid>
      <w:tr>
        <w:trPr>
          <w:cantSplit w:val="0"/>
          <w:trHeight w:val="540" w:hRule="atLeast"/>
          <w:tblHeader w:val="0"/>
        </w:trPr>
        <w:tc>
          <w:tcPr>
            <w:tcMar>
              <w:top w:w="80.0" w:type="dxa"/>
              <w:left w:w="140.0" w:type="dxa"/>
              <w:bottom w:w="80.0" w:type="dxa"/>
              <w:right w:w="140.0" w:type="dxa"/>
            </w:tcMar>
            <w:vAlign w:val="top"/>
          </w:tcPr>
          <w:p w:rsidR="00000000" w:rsidDel="00000000" w:rsidP="00000000" w:rsidRDefault="00000000" w:rsidRPr="00000000" w14:paraId="000000C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PIRADS</w:t>
            </w:r>
          </w:p>
        </w:tc>
        <w:tc>
          <w:tcPr>
            <w:tcMar>
              <w:top w:w="80.0" w:type="dxa"/>
              <w:left w:w="140.0" w:type="dxa"/>
              <w:bottom w:w="80.0" w:type="dxa"/>
              <w:right w:w="140.0" w:type="dxa"/>
            </w:tcMar>
            <w:vAlign w:val="top"/>
          </w:tcPr>
          <w:p w:rsidR="00000000" w:rsidDel="00000000" w:rsidP="00000000" w:rsidRDefault="00000000" w:rsidRPr="00000000" w14:paraId="000000C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Discordancia</w:t>
            </w:r>
          </w:p>
        </w:tc>
        <w:tc>
          <w:tcPr>
            <w:tcMar>
              <w:top w:w="80.0" w:type="dxa"/>
              <w:left w:w="140.0" w:type="dxa"/>
              <w:bottom w:w="80.0" w:type="dxa"/>
              <w:right w:w="140.0" w:type="dxa"/>
            </w:tcMar>
            <w:vAlign w:val="top"/>
          </w:tcPr>
          <w:p w:rsidR="00000000" w:rsidDel="00000000" w:rsidP="00000000" w:rsidRDefault="00000000" w:rsidRPr="00000000" w14:paraId="000000C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Sobreestimación</w:t>
            </w:r>
          </w:p>
        </w:tc>
        <w:tc>
          <w:tcPr>
            <w:tcMar>
              <w:top w:w="80.0" w:type="dxa"/>
              <w:left w:w="140.0" w:type="dxa"/>
              <w:bottom w:w="80.0" w:type="dxa"/>
              <w:right w:w="140.0" w:type="dxa"/>
            </w:tcMar>
            <w:vAlign w:val="top"/>
          </w:tcPr>
          <w:p w:rsidR="00000000" w:rsidDel="00000000" w:rsidP="00000000" w:rsidRDefault="00000000" w:rsidRPr="00000000" w14:paraId="000000C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Subestimación</w:t>
            </w:r>
          </w:p>
        </w:tc>
      </w:tr>
      <w:tr>
        <w:trPr>
          <w:cantSplit w:val="0"/>
          <w:trHeight w:val="540" w:hRule="atLeast"/>
          <w:tblHeader w:val="0"/>
        </w:trPr>
        <w:tc>
          <w:tcPr>
            <w:tcMar>
              <w:top w:w="80.0" w:type="dxa"/>
              <w:left w:w="140.0" w:type="dxa"/>
              <w:bottom w:w="80.0" w:type="dxa"/>
              <w:right w:w="140.0" w:type="dxa"/>
            </w:tcMar>
            <w:vAlign w:val="top"/>
          </w:tcPr>
          <w:p w:rsidR="00000000" w:rsidDel="00000000" w:rsidP="00000000" w:rsidRDefault="00000000" w:rsidRPr="00000000" w14:paraId="000000C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C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80.0" w:type="dxa"/>
              <w:left w:w="140.0" w:type="dxa"/>
              <w:bottom w:w="80.0" w:type="dxa"/>
              <w:right w:w="140.0" w:type="dxa"/>
            </w:tcMar>
            <w:vAlign w:val="top"/>
          </w:tcPr>
          <w:p w:rsidR="00000000" w:rsidDel="00000000" w:rsidP="00000000" w:rsidRDefault="00000000" w:rsidRPr="00000000" w14:paraId="000000C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80.0" w:type="dxa"/>
              <w:left w:w="140.0" w:type="dxa"/>
              <w:bottom w:w="80.0" w:type="dxa"/>
              <w:right w:w="140.0" w:type="dxa"/>
            </w:tcMar>
            <w:vAlign w:val="top"/>
          </w:tcPr>
          <w:p w:rsidR="00000000" w:rsidDel="00000000" w:rsidP="00000000" w:rsidRDefault="00000000" w:rsidRPr="00000000" w14:paraId="000000C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40" w:hRule="atLeast"/>
          <w:tblHeader w:val="0"/>
        </w:trPr>
        <w:tc>
          <w:tcPr>
            <w:tcMar>
              <w:top w:w="80.0" w:type="dxa"/>
              <w:left w:w="140.0" w:type="dxa"/>
              <w:bottom w:w="80.0" w:type="dxa"/>
              <w:right w:w="140.0" w:type="dxa"/>
            </w:tcMar>
            <w:vAlign w:val="top"/>
          </w:tcPr>
          <w:p w:rsidR="00000000" w:rsidDel="00000000" w:rsidP="00000000" w:rsidRDefault="00000000" w:rsidRPr="00000000" w14:paraId="000000C9">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Mar>
              <w:top w:w="80.0" w:type="dxa"/>
              <w:left w:w="140.0" w:type="dxa"/>
              <w:bottom w:w="80.0" w:type="dxa"/>
              <w:right w:w="140.0" w:type="dxa"/>
            </w:tcMar>
            <w:vAlign w:val="top"/>
          </w:tcPr>
          <w:p w:rsidR="00000000" w:rsidDel="00000000" w:rsidP="00000000" w:rsidRDefault="00000000" w:rsidRPr="00000000" w14:paraId="000000C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(4/8) </w:t>
            </w:r>
          </w:p>
        </w:tc>
        <w:tc>
          <w:tcPr>
            <w:tcMar>
              <w:top w:w="80.0" w:type="dxa"/>
              <w:left w:w="140.0" w:type="dxa"/>
              <w:bottom w:w="80.0" w:type="dxa"/>
              <w:right w:w="140.0" w:type="dxa"/>
            </w:tcMar>
            <w:vAlign w:val="top"/>
          </w:tcPr>
          <w:p w:rsidR="00000000" w:rsidDel="00000000" w:rsidP="00000000" w:rsidRDefault="00000000" w:rsidRPr="00000000" w14:paraId="000000C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 (1/8)</w:t>
            </w:r>
          </w:p>
        </w:tc>
        <w:tc>
          <w:tcPr>
            <w:tcMar>
              <w:top w:w="80.0" w:type="dxa"/>
              <w:left w:w="140.0" w:type="dxa"/>
              <w:bottom w:w="80.0" w:type="dxa"/>
              <w:right w:w="140.0" w:type="dxa"/>
            </w:tcMar>
            <w:vAlign w:val="top"/>
          </w:tcPr>
          <w:p w:rsidR="00000000" w:rsidDel="00000000" w:rsidP="00000000" w:rsidRDefault="00000000" w:rsidRPr="00000000" w14:paraId="000000C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37,5% (3/8)</w:t>
            </w:r>
          </w:p>
        </w:tc>
      </w:tr>
      <w:tr>
        <w:trPr>
          <w:cantSplit w:val="0"/>
          <w:trHeight w:val="540" w:hRule="atLeast"/>
          <w:tblHeader w:val="0"/>
        </w:trPr>
        <w:tc>
          <w:tcPr>
            <w:tcMar>
              <w:top w:w="80.0" w:type="dxa"/>
              <w:left w:w="140.0" w:type="dxa"/>
              <w:bottom w:w="80.0" w:type="dxa"/>
              <w:right w:w="140.0" w:type="dxa"/>
            </w:tcMar>
            <w:vAlign w:val="top"/>
          </w:tcPr>
          <w:p w:rsidR="00000000" w:rsidDel="00000000" w:rsidP="00000000" w:rsidRDefault="00000000" w:rsidRPr="00000000" w14:paraId="000000C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Mar>
              <w:top w:w="80.0" w:type="dxa"/>
              <w:left w:w="140.0" w:type="dxa"/>
              <w:bottom w:w="80.0" w:type="dxa"/>
              <w:right w:w="140.0" w:type="dxa"/>
            </w:tcMar>
            <w:vAlign w:val="top"/>
          </w:tcPr>
          <w:p w:rsidR="00000000" w:rsidDel="00000000" w:rsidP="00000000" w:rsidRDefault="00000000" w:rsidRPr="00000000" w14:paraId="000000C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(20/45)</w:t>
            </w:r>
          </w:p>
        </w:tc>
        <w:tc>
          <w:tcPr>
            <w:tcMar>
              <w:top w:w="80.0" w:type="dxa"/>
              <w:left w:w="140.0" w:type="dxa"/>
              <w:bottom w:w="80.0" w:type="dxa"/>
              <w:right w:w="140.0" w:type="dxa"/>
            </w:tcMar>
            <w:vAlign w:val="top"/>
          </w:tcPr>
          <w:p w:rsidR="00000000" w:rsidDel="00000000" w:rsidP="00000000" w:rsidRDefault="00000000" w:rsidRPr="00000000" w14:paraId="000000C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(10/45)</w:t>
            </w:r>
          </w:p>
        </w:tc>
        <w:tc>
          <w:tcPr>
            <w:tcMar>
              <w:top w:w="80.0" w:type="dxa"/>
              <w:left w:w="140.0" w:type="dxa"/>
              <w:bottom w:w="80.0" w:type="dxa"/>
              <w:right w:w="140.0" w:type="dxa"/>
            </w:tcMar>
            <w:vAlign w:val="top"/>
          </w:tcPr>
          <w:p w:rsidR="00000000" w:rsidDel="00000000" w:rsidP="00000000" w:rsidRDefault="00000000" w:rsidRPr="00000000" w14:paraId="000000D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(10/45)</w:t>
            </w:r>
          </w:p>
        </w:tc>
      </w:tr>
      <w:tr>
        <w:trPr>
          <w:cantSplit w:val="0"/>
          <w:trHeight w:val="540" w:hRule="atLeast"/>
          <w:tblHeader w:val="0"/>
        </w:trPr>
        <w:tc>
          <w:tcPr>
            <w:tcMar>
              <w:top w:w="80.0" w:type="dxa"/>
              <w:left w:w="140.0" w:type="dxa"/>
              <w:bottom w:w="80.0" w:type="dxa"/>
              <w:right w:w="140.0" w:type="dxa"/>
            </w:tcMar>
            <w:vAlign w:val="top"/>
          </w:tcPr>
          <w:p w:rsidR="00000000" w:rsidDel="00000000" w:rsidP="00000000" w:rsidRDefault="00000000" w:rsidRPr="00000000" w14:paraId="000000D1">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Mar>
              <w:top w:w="80.0" w:type="dxa"/>
              <w:left w:w="140.0" w:type="dxa"/>
              <w:bottom w:w="80.0" w:type="dxa"/>
              <w:right w:w="140.0" w:type="dxa"/>
            </w:tcMar>
            <w:vAlign w:val="top"/>
          </w:tcPr>
          <w:p w:rsidR="00000000" w:rsidDel="00000000" w:rsidP="00000000" w:rsidRDefault="00000000" w:rsidRPr="00000000" w14:paraId="000000D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(9/17)</w:t>
            </w:r>
          </w:p>
        </w:tc>
        <w:tc>
          <w:tcPr>
            <w:tcMar>
              <w:top w:w="80.0" w:type="dxa"/>
              <w:left w:w="140.0" w:type="dxa"/>
              <w:bottom w:w="80.0" w:type="dxa"/>
              <w:right w:w="140.0" w:type="dxa"/>
            </w:tcMar>
            <w:vAlign w:val="top"/>
          </w:tcPr>
          <w:p w:rsidR="00000000" w:rsidDel="00000000" w:rsidP="00000000" w:rsidRDefault="00000000" w:rsidRPr="00000000" w14:paraId="000000D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(2/17)</w:t>
            </w:r>
          </w:p>
        </w:tc>
        <w:tc>
          <w:tcPr>
            <w:tcMar>
              <w:top w:w="80.0" w:type="dxa"/>
              <w:left w:w="140.0" w:type="dxa"/>
              <w:bottom w:w="80.0" w:type="dxa"/>
              <w:right w:w="140.0" w:type="dxa"/>
            </w:tcMar>
            <w:vAlign w:val="top"/>
          </w:tcPr>
          <w:p w:rsidR="00000000" w:rsidDel="00000000" w:rsidP="00000000" w:rsidRDefault="00000000" w:rsidRPr="00000000" w14:paraId="000000D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(7/17)</w:t>
            </w:r>
          </w:p>
        </w:tc>
      </w:tr>
    </w:tbl>
    <w:p w:rsidR="00000000" w:rsidDel="00000000" w:rsidP="00000000" w:rsidRDefault="00000000" w:rsidRPr="00000000" w14:paraId="000000D5">
      <w:pPr>
        <w:spacing w:after="160" w:line="24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D6">
      <w:pPr>
        <w:spacing w:after="160"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Gráfico 1. </w:t>
      </w:r>
      <w:r w:rsidDel="00000000" w:rsidR="00000000" w:rsidRPr="00000000">
        <w:rPr>
          <w:rFonts w:ascii="Times New Roman" w:cs="Times New Roman" w:eastAsia="Times New Roman" w:hAnsi="Times New Roman"/>
          <w:color w:val="333333"/>
          <w:sz w:val="24"/>
          <w:szCs w:val="24"/>
          <w:rtl w:val="0"/>
        </w:rPr>
        <w:t xml:space="preserve">Porcentaje de pacientes reclasificados con respecto al resultado de la biopsia operatoria. </w:t>
      </w:r>
    </w:p>
    <w:p w:rsidR="00000000" w:rsidDel="00000000" w:rsidP="00000000" w:rsidRDefault="00000000" w:rsidRPr="00000000" w14:paraId="000000D7">
      <w:pPr>
        <w:spacing w:after="160"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Pr>
        <w:drawing>
          <wp:inline distB="114300" distT="114300" distL="114300" distR="114300">
            <wp:extent cx="5731200" cy="39116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3911600"/>
                    </a:xfrm>
                    <a:prstGeom prst="rect"/>
                    <a:ln/>
                  </pic:spPr>
                </pic:pic>
              </a:graphicData>
            </a:graphic>
          </wp:inline>
        </w:drawing>
      </w:r>
      <w:r w:rsidDel="00000000" w:rsidR="00000000" w:rsidRPr="00000000">
        <w:rPr>
          <w:rtl w:val="0"/>
        </w:rPr>
      </w:r>
    </w:p>
    <w:p w:rsidR="00000000" w:rsidDel="00000000" w:rsidP="00000000" w:rsidRDefault="00000000" w:rsidRPr="00000000" w14:paraId="000000D8">
      <w:pPr>
        <w:spacing w:after="160" w:line="240" w:lineRule="auto"/>
        <w:jc w:val="both"/>
        <w:rPr>
          <w:rFonts w:ascii="Times New Roman" w:cs="Times New Roman" w:eastAsia="Times New Roman" w:hAnsi="Times New Roman"/>
          <w:color w:val="333333"/>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right"/>
      <w:pPr>
        <w:ind w:left="1286.93" w:hanging="360.0000000000001"/>
      </w:pPr>
      <w:rPr>
        <w:u w:val="none"/>
      </w:rPr>
    </w:lvl>
    <w:lvl w:ilvl="1">
      <w:start w:val="1"/>
      <w:numFmt w:val="bullet"/>
      <w:lvlText w:val="❏"/>
      <w:lvlJc w:val="right"/>
      <w:pPr>
        <w:ind w:left="2160" w:hanging="360"/>
      </w:pPr>
      <w:rPr>
        <w:u w:val="none"/>
      </w:rPr>
    </w:lvl>
    <w:lvl w:ilvl="2">
      <w:start w:val="1"/>
      <w:numFmt w:val="bullet"/>
      <w:lvlText w:val="❏"/>
      <w:lvlJc w:val="right"/>
      <w:pPr>
        <w:ind w:left="2880" w:hanging="360"/>
      </w:pPr>
      <w:rPr>
        <w:u w:val="none"/>
      </w:rPr>
    </w:lvl>
    <w:lvl w:ilvl="3">
      <w:start w:val="1"/>
      <w:numFmt w:val="bullet"/>
      <w:lvlText w:val="❏"/>
      <w:lvlJc w:val="right"/>
      <w:pPr>
        <w:ind w:left="3600" w:hanging="360"/>
      </w:pPr>
      <w:rPr>
        <w:u w:val="none"/>
      </w:rPr>
    </w:lvl>
    <w:lvl w:ilvl="4">
      <w:start w:val="1"/>
      <w:numFmt w:val="bullet"/>
      <w:lvlText w:val="❏"/>
      <w:lvlJc w:val="right"/>
      <w:pPr>
        <w:ind w:left="4320" w:hanging="360"/>
      </w:pPr>
      <w:rPr>
        <w:u w:val="none"/>
      </w:rPr>
    </w:lvl>
    <w:lvl w:ilvl="5">
      <w:start w:val="1"/>
      <w:numFmt w:val="bullet"/>
      <w:lvlText w:val="❏"/>
      <w:lvlJc w:val="right"/>
      <w:pPr>
        <w:ind w:left="5040" w:hanging="360"/>
      </w:pPr>
      <w:rPr>
        <w:u w:val="none"/>
      </w:rPr>
    </w:lvl>
    <w:lvl w:ilvl="6">
      <w:start w:val="1"/>
      <w:numFmt w:val="bullet"/>
      <w:lvlText w:val="❏"/>
      <w:lvlJc w:val="right"/>
      <w:pPr>
        <w:ind w:left="5760" w:hanging="360"/>
      </w:pPr>
      <w:rPr>
        <w:u w:val="none"/>
      </w:rPr>
    </w:lvl>
    <w:lvl w:ilvl="7">
      <w:start w:val="1"/>
      <w:numFmt w:val="bullet"/>
      <w:lvlText w:val="❏"/>
      <w:lvlJc w:val="right"/>
      <w:pPr>
        <w:ind w:left="6480" w:hanging="360"/>
      </w:pPr>
      <w:rPr>
        <w:u w:val="none"/>
      </w:rPr>
    </w:lvl>
    <w:lvl w:ilvl="8">
      <w:start w:val="1"/>
      <w:numFmt w:val="bullet"/>
      <w:lvlText w:val="❏"/>
      <w:lvlJc w:val="righ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4">
    <w:lvl w:ilvl="0">
      <w:start w:val="1"/>
      <w:numFmt w:val="bullet"/>
      <w:lvlText w:val="❏"/>
      <w:lvlJc w:val="right"/>
      <w:pPr>
        <w:ind w:left="1286.93" w:hanging="360.0000000000001"/>
      </w:pPr>
      <w:rPr>
        <w:u w:val="none"/>
      </w:rPr>
    </w:lvl>
    <w:lvl w:ilvl="1">
      <w:start w:val="1"/>
      <w:numFmt w:val="bullet"/>
      <w:lvlText w:val="❏"/>
      <w:lvlJc w:val="right"/>
      <w:pPr>
        <w:ind w:left="2160" w:hanging="360"/>
      </w:pPr>
      <w:rPr>
        <w:u w:val="none"/>
      </w:rPr>
    </w:lvl>
    <w:lvl w:ilvl="2">
      <w:start w:val="1"/>
      <w:numFmt w:val="bullet"/>
      <w:lvlText w:val="❏"/>
      <w:lvlJc w:val="right"/>
      <w:pPr>
        <w:ind w:left="2880" w:hanging="360"/>
      </w:pPr>
      <w:rPr>
        <w:u w:val="none"/>
      </w:rPr>
    </w:lvl>
    <w:lvl w:ilvl="3">
      <w:start w:val="1"/>
      <w:numFmt w:val="bullet"/>
      <w:lvlText w:val="❏"/>
      <w:lvlJc w:val="right"/>
      <w:pPr>
        <w:ind w:left="3600" w:hanging="360"/>
      </w:pPr>
      <w:rPr>
        <w:u w:val="none"/>
      </w:rPr>
    </w:lvl>
    <w:lvl w:ilvl="4">
      <w:start w:val="1"/>
      <w:numFmt w:val="bullet"/>
      <w:lvlText w:val="❏"/>
      <w:lvlJc w:val="right"/>
      <w:pPr>
        <w:ind w:left="4320" w:hanging="360"/>
      </w:pPr>
      <w:rPr>
        <w:u w:val="none"/>
      </w:rPr>
    </w:lvl>
    <w:lvl w:ilvl="5">
      <w:start w:val="1"/>
      <w:numFmt w:val="bullet"/>
      <w:lvlText w:val="❏"/>
      <w:lvlJc w:val="right"/>
      <w:pPr>
        <w:ind w:left="5040" w:hanging="360"/>
      </w:pPr>
      <w:rPr>
        <w:u w:val="none"/>
      </w:rPr>
    </w:lvl>
    <w:lvl w:ilvl="6">
      <w:start w:val="1"/>
      <w:numFmt w:val="bullet"/>
      <w:lvlText w:val="❏"/>
      <w:lvlJc w:val="right"/>
      <w:pPr>
        <w:ind w:left="5760" w:hanging="360"/>
      </w:pPr>
      <w:rPr>
        <w:u w:val="none"/>
      </w:rPr>
    </w:lvl>
    <w:lvl w:ilvl="7">
      <w:start w:val="1"/>
      <w:numFmt w:val="bullet"/>
      <w:lvlText w:val="❏"/>
      <w:lvlJc w:val="right"/>
      <w:pPr>
        <w:ind w:left="6480" w:hanging="360"/>
      </w:pPr>
      <w:rPr>
        <w:u w:val="none"/>
      </w:rPr>
    </w:lvl>
    <w:lvl w:ilvl="8">
      <w:start w:val="1"/>
      <w:numFmt w:val="bullet"/>
      <w:lvlText w:val="❏"/>
      <w:lvlJc w:val="right"/>
      <w:pPr>
        <w:ind w:left="7200" w:hanging="360"/>
      </w:pPr>
      <w:rPr>
        <w:u w:val="none"/>
      </w:rPr>
    </w:lvl>
  </w:abstractNum>
  <w:abstractNum w:abstractNumId="5">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rPr>
      <w:rFonts w:ascii="Calibri" w:cs="Calibri" w:eastAsia="Calibri" w:hAnsi="Calibri"/>
      <w:b w:val="0"/>
      <w:i w:val="0"/>
      <w:color w:val="000000"/>
    </w:rPr>
    <w:tblPr>
      <w:tblStyleRowBandSize w:val="1"/>
      <w:tblStyleColBandSize w:val="1"/>
      <w:tblCellMar/>
    </w:tblPr>
    <w:tcPr>
      <w:shd w:fill="e8ebf5" w:val="clear"/>
    </w:tcPr>
    <w:tblStylePr w:type="band1Horz">
      <w:pPr/>
      <w:rPr/>
      <w:tcPr>
        <w:shd w:fill="cdd4ea" w:val="clear"/>
      </w:tcPr>
    </w:tblStylePr>
    <w:tblStylePr w:type="band1Vert">
      <w:pPr/>
      <w:rPr/>
      <w:tcPr>
        <w:shd w:fill="cdd4ea" w:val="clear"/>
      </w:tcPr>
    </w:tblStylePr>
    <w:tblStylePr w:type="band2Horz">
      <w:pPr/>
      <w:rPr/>
      <w:tcPr/>
    </w:tblStylePr>
    <w:tblStylePr w:type="band2Vert">
      <w:pPr/>
      <w:rPr/>
      <w:tcPr/>
    </w:tblStylePr>
    <w:tblStylePr w:type="firstCol">
      <w:pPr/>
      <w:rPr>
        <w:rFonts w:ascii="Calibri" w:cs="Calibri" w:eastAsia="Calibri" w:hAnsi="Calibri"/>
        <w:b w:val="1"/>
        <w:i w:val="0"/>
        <w:color w:val="ffffff"/>
      </w:rPr>
      <w:tcPr>
        <w:shd w:fill="4472c4" w:val="clear"/>
      </w:tcPr>
    </w:tblStylePr>
    <w:tblStylePr w:type="firstRow">
      <w:pPr/>
      <w:rPr>
        <w:rFonts w:ascii="Calibri" w:cs="Calibri" w:eastAsia="Calibri" w:hAnsi="Calibri"/>
        <w:b w:val="1"/>
        <w:i w:val="0"/>
        <w:color w:val="ffffff"/>
      </w:rPr>
      <w:tcPr>
        <w:tcBorders>
          <w:bottom w:color="ffffff" w:space="0" w:sz="24" w:val="single"/>
        </w:tcBorders>
        <w:shd w:fill="4472c4" w:val="clear"/>
      </w:tcPr>
    </w:tblStylePr>
    <w:tblStylePr w:type="lastCol">
      <w:pPr/>
      <w:rPr>
        <w:rFonts w:ascii="Calibri" w:cs="Calibri" w:eastAsia="Calibri" w:hAnsi="Calibri"/>
        <w:b w:val="1"/>
        <w:i w:val="0"/>
        <w:color w:val="ffffff"/>
      </w:rPr>
      <w:tcPr>
        <w:shd w:fill="4472c4" w:val="clear"/>
      </w:tcPr>
    </w:tblStylePr>
    <w:tblStylePr w:type="lastRow">
      <w:pPr/>
      <w:rPr>
        <w:rFonts w:ascii="Calibri" w:cs="Calibri" w:eastAsia="Calibri" w:hAnsi="Calibri"/>
        <w:b w:val="1"/>
        <w:i w:val="0"/>
        <w:color w:val="ffffff"/>
      </w:rPr>
      <w:tcPr>
        <w:tcBorders>
          <w:top w:color="ffffff" w:space="0" w:sz="24" w:val="single"/>
        </w:tcBorders>
        <w:shd w:fill="4472c4" w:val="clear"/>
      </w:tcPr>
    </w:tblStylePr>
    <w:tblStylePr w:type="neCell">
      <w:pPr/>
      <w:rPr/>
      <w:tcPr/>
    </w:tblStylePr>
    <w:tblStylePr w:type="nwCell">
      <w:pPr/>
      <w:rPr/>
      <w:tcPr/>
    </w:tblStylePr>
    <w:tblStylePr w:type="seCell">
      <w:pPr/>
      <w:rPr/>
      <w:tcPr/>
    </w:tblStylePr>
    <w:tblStylePr w:type="swCell">
      <w:pPr/>
      <w:rPr/>
      <w:tcPr/>
    </w:tblStylePr>
  </w:style>
  <w:style w:type="table" w:styleId="Table2">
    <w:basedOn w:val="TableNormal"/>
    <w:pPr/>
    <w:rPr>
      <w:rFonts w:ascii="Calibri" w:cs="Calibri" w:eastAsia="Calibri" w:hAnsi="Calibri"/>
      <w:b w:val="0"/>
      <w:i w:val="0"/>
      <w:color w:val="000000"/>
    </w:rPr>
    <w:tblPr>
      <w:tblStyleRowBandSize w:val="1"/>
      <w:tblStyleColBandSize w:val="1"/>
      <w:tblCellMar/>
    </w:tblPr>
    <w:tcPr>
      <w:shd w:fill="e8ebf5" w:val="clear"/>
    </w:tcPr>
    <w:tblStylePr w:type="band1Horz">
      <w:pPr/>
      <w:rPr/>
      <w:tcPr>
        <w:shd w:fill="cdd4ea" w:val="clear"/>
      </w:tcPr>
    </w:tblStylePr>
    <w:tblStylePr w:type="band1Vert">
      <w:pPr/>
      <w:rPr/>
      <w:tcPr>
        <w:shd w:fill="cdd4ea" w:val="clear"/>
      </w:tcPr>
    </w:tblStylePr>
    <w:tblStylePr w:type="band2Horz">
      <w:pPr/>
      <w:rPr/>
      <w:tcPr/>
    </w:tblStylePr>
    <w:tblStylePr w:type="band2Vert">
      <w:pPr/>
      <w:rPr/>
      <w:tcPr/>
    </w:tblStylePr>
    <w:tblStylePr w:type="firstCol">
      <w:pPr/>
      <w:rPr>
        <w:rFonts w:ascii="Calibri" w:cs="Calibri" w:eastAsia="Calibri" w:hAnsi="Calibri"/>
        <w:b w:val="1"/>
        <w:i w:val="0"/>
        <w:color w:val="ffffff"/>
      </w:rPr>
      <w:tcPr>
        <w:shd w:fill="4472c4" w:val="clear"/>
      </w:tcPr>
    </w:tblStylePr>
    <w:tblStylePr w:type="firstRow">
      <w:pPr/>
      <w:rPr>
        <w:rFonts w:ascii="Calibri" w:cs="Calibri" w:eastAsia="Calibri" w:hAnsi="Calibri"/>
        <w:b w:val="1"/>
        <w:i w:val="0"/>
        <w:color w:val="ffffff"/>
      </w:rPr>
      <w:tcPr>
        <w:tcBorders>
          <w:bottom w:color="ffffff" w:space="0" w:sz="24" w:val="single"/>
        </w:tcBorders>
        <w:shd w:fill="4472c4" w:val="clear"/>
      </w:tcPr>
    </w:tblStylePr>
    <w:tblStylePr w:type="lastCol">
      <w:pPr/>
      <w:rPr>
        <w:rFonts w:ascii="Calibri" w:cs="Calibri" w:eastAsia="Calibri" w:hAnsi="Calibri"/>
        <w:b w:val="1"/>
        <w:i w:val="0"/>
        <w:color w:val="ffffff"/>
      </w:rPr>
      <w:tcPr>
        <w:shd w:fill="4472c4" w:val="clear"/>
      </w:tcPr>
    </w:tblStylePr>
    <w:tblStylePr w:type="lastRow">
      <w:pPr/>
      <w:rPr>
        <w:rFonts w:ascii="Calibri" w:cs="Calibri" w:eastAsia="Calibri" w:hAnsi="Calibri"/>
        <w:b w:val="1"/>
        <w:i w:val="0"/>
        <w:color w:val="ffffff"/>
      </w:rPr>
      <w:tcPr>
        <w:tcBorders>
          <w:top w:color="ffffff" w:space="0" w:sz="24" w:val="single"/>
        </w:tcBorders>
        <w:shd w:fill="4472c4" w:val="clear"/>
      </w:tcPr>
    </w:tblStylePr>
    <w:tblStylePr w:type="neCell">
      <w:pPr/>
      <w:rPr/>
      <w:tcPr/>
    </w:tblStylePr>
    <w:tblStylePr w:type="nwCell">
      <w:pPr/>
      <w:rPr/>
      <w:tcPr/>
    </w:tblStylePr>
    <w:tblStylePr w:type="seCell">
      <w:pPr/>
      <w:rPr/>
      <w:tcPr/>
    </w:tblStylePr>
    <w:tblStylePr w:type="swCell">
      <w:pPr/>
      <w:rPr/>
      <w:tcPr/>
    </w:tblStylePr>
  </w:style>
  <w:style w:type="table" w:styleId="Table3">
    <w:basedOn w:val="TableNormal"/>
    <w:pPr/>
    <w:rPr>
      <w:rFonts w:ascii="Calibri" w:cs="Calibri" w:eastAsia="Calibri" w:hAnsi="Calibri"/>
      <w:b w:val="0"/>
      <w:i w:val="0"/>
      <w:color w:val="000000"/>
    </w:rPr>
    <w:tblPr>
      <w:tblStyleRowBandSize w:val="1"/>
      <w:tblStyleColBandSize w:val="1"/>
      <w:tblCellMar/>
    </w:tblPr>
    <w:tcPr>
      <w:shd w:fill="e8ebf5" w:val="clear"/>
    </w:tcPr>
    <w:tblStylePr w:type="band1Horz">
      <w:pPr/>
      <w:rPr/>
      <w:tcPr>
        <w:shd w:fill="cdd4ea" w:val="clear"/>
      </w:tcPr>
    </w:tblStylePr>
    <w:tblStylePr w:type="band1Vert">
      <w:pPr/>
      <w:rPr/>
      <w:tcPr>
        <w:shd w:fill="cdd4ea" w:val="clear"/>
      </w:tcPr>
    </w:tblStylePr>
    <w:tblStylePr w:type="band2Horz">
      <w:pPr/>
      <w:rPr/>
      <w:tcPr/>
    </w:tblStylePr>
    <w:tblStylePr w:type="band2Vert">
      <w:pPr/>
      <w:rPr/>
      <w:tcPr/>
    </w:tblStylePr>
    <w:tblStylePr w:type="firstCol">
      <w:pPr/>
      <w:rPr>
        <w:rFonts w:ascii="Calibri" w:cs="Calibri" w:eastAsia="Calibri" w:hAnsi="Calibri"/>
        <w:b w:val="1"/>
        <w:i w:val="0"/>
        <w:color w:val="ffffff"/>
      </w:rPr>
      <w:tcPr>
        <w:shd w:fill="4472c4" w:val="clear"/>
      </w:tcPr>
    </w:tblStylePr>
    <w:tblStylePr w:type="firstRow">
      <w:pPr/>
      <w:rPr>
        <w:rFonts w:ascii="Calibri" w:cs="Calibri" w:eastAsia="Calibri" w:hAnsi="Calibri"/>
        <w:b w:val="1"/>
        <w:i w:val="0"/>
        <w:color w:val="ffffff"/>
      </w:rPr>
      <w:tcPr>
        <w:tcBorders>
          <w:bottom w:color="ffffff" w:space="0" w:sz="24" w:val="single"/>
        </w:tcBorders>
        <w:shd w:fill="4472c4" w:val="clear"/>
      </w:tcPr>
    </w:tblStylePr>
    <w:tblStylePr w:type="lastCol">
      <w:pPr/>
      <w:rPr>
        <w:rFonts w:ascii="Calibri" w:cs="Calibri" w:eastAsia="Calibri" w:hAnsi="Calibri"/>
        <w:b w:val="1"/>
        <w:i w:val="0"/>
        <w:color w:val="ffffff"/>
      </w:rPr>
      <w:tcPr>
        <w:shd w:fill="4472c4" w:val="clear"/>
      </w:tcPr>
    </w:tblStylePr>
    <w:tblStylePr w:type="lastRow">
      <w:pPr/>
      <w:rPr>
        <w:rFonts w:ascii="Calibri" w:cs="Calibri" w:eastAsia="Calibri" w:hAnsi="Calibri"/>
        <w:b w:val="1"/>
        <w:i w:val="0"/>
        <w:color w:val="ffffff"/>
      </w:rPr>
      <w:tcPr>
        <w:tcBorders>
          <w:top w:color="ffffff" w:space="0" w:sz="24" w:val="single"/>
        </w:tcBorders>
        <w:shd w:fill="4472c4" w:val="clear"/>
      </w:tcPr>
    </w:tblStylePr>
    <w:tblStylePr w:type="neCell">
      <w:pPr/>
      <w:rPr/>
      <w:tcPr/>
    </w:tblStylePr>
    <w:tblStylePr w:type="nwCell">
      <w:pPr/>
      <w:rPr/>
      <w:tcPr/>
    </w:tblStylePr>
    <w:tblStylePr w:type="seCell">
      <w:pPr/>
      <w:rPr/>
      <w:tcPr/>
    </w:tblStylePr>
    <w:tblStylePr w:type="swCell">
      <w:pPr/>
      <w:rP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