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FC07E" w14:textId="77777777" w:rsidR="00F26601" w:rsidRPr="00161F12" w:rsidRDefault="00000000" w:rsidP="00161F12">
      <w:pPr>
        <w:spacing w:line="480" w:lineRule="auto"/>
        <w:rPr>
          <w:sz w:val="24"/>
          <w:szCs w:val="24"/>
          <w:highlight w:val="white"/>
        </w:rPr>
      </w:pPr>
      <w:r w:rsidRPr="00161F12">
        <w:rPr>
          <w:sz w:val="24"/>
          <w:szCs w:val="24"/>
          <w:highlight w:val="white"/>
        </w:rPr>
        <w:t>NOMOGRAMA BASADO EN PET PSMA PARA MEJORAR LA INDICACIÓN DE LINFADENECTOMÍA PÉLVICA EXTENDIDA EN CÁNCER DE PRÓSTATA: VALIDACIÓN EXTERNA Y COMPARACIÓN DEL RENDIMIENTO DE LOS NOMOGRAMAS DE AMSTERDAM–BRISBANE–SYDNEY Y BRIGANTI 2018 EN UNA COHORTE NACIONAL</w:t>
      </w:r>
    </w:p>
    <w:p w14:paraId="33C8637D" w14:textId="77777777" w:rsidR="00F26601" w:rsidRPr="00161F12" w:rsidRDefault="00F26601" w:rsidP="00161F12">
      <w:pPr>
        <w:spacing w:line="480" w:lineRule="auto"/>
        <w:rPr>
          <w:sz w:val="24"/>
          <w:szCs w:val="24"/>
          <w:highlight w:val="white"/>
        </w:rPr>
      </w:pPr>
    </w:p>
    <w:p w14:paraId="299D715A" w14:textId="77777777" w:rsidR="00F26601" w:rsidRPr="00161F12" w:rsidRDefault="00000000" w:rsidP="00161F12">
      <w:pPr>
        <w:pStyle w:val="Ttulo2"/>
        <w:keepNext w:val="0"/>
        <w:keepLines w:val="0"/>
        <w:spacing w:after="80" w:line="480" w:lineRule="auto"/>
        <w:rPr>
          <w:sz w:val="24"/>
          <w:szCs w:val="24"/>
          <w:highlight w:val="white"/>
        </w:rPr>
      </w:pPr>
      <w:bookmarkStart w:id="0" w:name="_d5obghyc48cg" w:colFirst="0" w:colLast="0"/>
      <w:bookmarkEnd w:id="0"/>
      <w:r w:rsidRPr="00161F12">
        <w:rPr>
          <w:sz w:val="24"/>
          <w:szCs w:val="24"/>
          <w:highlight w:val="white"/>
        </w:rPr>
        <w:t>Introducción</w:t>
      </w:r>
    </w:p>
    <w:p w14:paraId="1812535A" w14:textId="0B53CB01" w:rsidR="00F26601" w:rsidRPr="00161F12" w:rsidRDefault="00000000" w:rsidP="00161F12">
      <w:pPr>
        <w:spacing w:line="480" w:lineRule="auto"/>
        <w:rPr>
          <w:sz w:val="24"/>
          <w:szCs w:val="24"/>
        </w:rPr>
      </w:pPr>
      <w:r w:rsidRPr="00161F12">
        <w:rPr>
          <w:color w:val="000000"/>
          <w:sz w:val="24"/>
          <w:szCs w:val="24"/>
        </w:rPr>
        <w:t>El cáncer de próstata (CaP) representa a nivel mundial una de las neoplasias más prevalentes en hombres</w:t>
      </w:r>
      <w:hyperlink r:id="rId5">
        <w:r w:rsidRPr="00161F12">
          <w:rPr>
            <w:sz w:val="24"/>
            <w:szCs w:val="24"/>
          </w:rPr>
          <w:t>(1)</w:t>
        </w:r>
      </w:hyperlink>
      <w:r w:rsidRPr="00161F12">
        <w:rPr>
          <w:sz w:val="24"/>
          <w:szCs w:val="24"/>
        </w:rPr>
        <w:t xml:space="preserve">  y es la neoplasia más frecuentemente diagnosticada en hombres en Chile</w:t>
      </w:r>
      <w:hyperlink r:id="rId6">
        <w:r w:rsidRPr="00161F12">
          <w:rPr>
            <w:sz w:val="24"/>
            <w:szCs w:val="24"/>
          </w:rPr>
          <w:t>(2</w:t>
        </w:r>
        <w:r w:rsidRPr="00161F12">
          <w:rPr>
            <w:sz w:val="24"/>
            <w:szCs w:val="24"/>
          </w:rPr>
          <w:t>)</w:t>
        </w:r>
      </w:hyperlink>
      <w:r w:rsidRPr="00161F12">
        <w:rPr>
          <w:sz w:val="24"/>
          <w:szCs w:val="24"/>
        </w:rPr>
        <w:t xml:space="preserve">, </w:t>
      </w:r>
      <w:r w:rsidR="00B117BF">
        <w:rPr>
          <w:sz w:val="24"/>
          <w:szCs w:val="24"/>
        </w:rPr>
        <w:t>generando morbimortalidad</w:t>
      </w:r>
      <w:r w:rsidRPr="00161F12">
        <w:rPr>
          <w:color w:val="000000"/>
          <w:sz w:val="24"/>
          <w:szCs w:val="24"/>
        </w:rPr>
        <w:t xml:space="preserve"> especialmente a aquellos subgrupos de p</w:t>
      </w:r>
      <w:r w:rsidRPr="00161F12">
        <w:rPr>
          <w:sz w:val="24"/>
          <w:szCs w:val="24"/>
        </w:rPr>
        <w:t xml:space="preserve">acientes </w:t>
      </w:r>
      <w:r w:rsidRPr="00161F12">
        <w:rPr>
          <w:color w:val="000000"/>
          <w:sz w:val="24"/>
          <w:szCs w:val="24"/>
        </w:rPr>
        <w:t>clasificados como pacientes de riesgo intermedio y alto</w:t>
      </w:r>
      <w:r w:rsidR="00B117BF">
        <w:rPr>
          <w:color w:val="000000"/>
          <w:sz w:val="24"/>
          <w:szCs w:val="24"/>
        </w:rPr>
        <w:t xml:space="preserve"> (1,3)</w:t>
      </w:r>
      <w:r w:rsidRPr="00161F12">
        <w:rPr>
          <w:color w:val="000000"/>
          <w:sz w:val="24"/>
          <w:szCs w:val="24"/>
        </w:rPr>
        <w:t>.  La estadificación precisa y la correcta selección del tratamiento en est</w:t>
      </w:r>
      <w:r w:rsidR="00B117BF">
        <w:rPr>
          <w:color w:val="000000"/>
          <w:sz w:val="24"/>
          <w:szCs w:val="24"/>
        </w:rPr>
        <w:t>os</w:t>
      </w:r>
      <w:r w:rsidRPr="00161F12">
        <w:rPr>
          <w:color w:val="000000"/>
          <w:sz w:val="24"/>
          <w:szCs w:val="24"/>
        </w:rPr>
        <w:t xml:space="preserve"> grupo</w:t>
      </w:r>
      <w:r w:rsidR="00B117BF">
        <w:rPr>
          <w:color w:val="000000"/>
          <w:sz w:val="24"/>
          <w:szCs w:val="24"/>
        </w:rPr>
        <w:t>s</w:t>
      </w:r>
      <w:r w:rsidRPr="00161F12">
        <w:rPr>
          <w:color w:val="000000"/>
          <w:sz w:val="24"/>
          <w:szCs w:val="24"/>
        </w:rPr>
        <w:t xml:space="preserve"> son fundamentales para mejorar el pronóstico y optimizar los resultados </w:t>
      </w:r>
      <w:r w:rsidRPr="00161F12">
        <w:rPr>
          <w:sz w:val="24"/>
          <w:szCs w:val="24"/>
        </w:rPr>
        <w:t>funcionales y de</w:t>
      </w:r>
      <w:r w:rsidRPr="00161F12">
        <w:rPr>
          <w:color w:val="000000"/>
          <w:sz w:val="24"/>
          <w:szCs w:val="24"/>
        </w:rPr>
        <w:t xml:space="preserve"> </w:t>
      </w:r>
      <w:r w:rsidRPr="00161F12">
        <w:rPr>
          <w:sz w:val="24"/>
          <w:szCs w:val="24"/>
        </w:rPr>
        <w:t>sobrevida</w:t>
      </w:r>
      <w:hyperlink r:id="rId7">
        <w:r w:rsidRPr="00161F12">
          <w:rPr>
            <w:sz w:val="24"/>
            <w:szCs w:val="24"/>
          </w:rPr>
          <w:t>(3)</w:t>
        </w:r>
      </w:hyperlink>
      <w:r w:rsidRPr="00161F12">
        <w:rPr>
          <w:color w:val="000000"/>
          <w:sz w:val="24"/>
          <w:szCs w:val="24"/>
        </w:rPr>
        <w:t>.</w:t>
      </w:r>
    </w:p>
    <w:p w14:paraId="12146C61" w14:textId="5C083498" w:rsidR="00F26601" w:rsidRPr="00161F12" w:rsidRDefault="00000000" w:rsidP="00161F12">
      <w:pPr>
        <w:spacing w:before="240" w:after="240" w:line="480" w:lineRule="auto"/>
        <w:rPr>
          <w:color w:val="000000"/>
          <w:sz w:val="24"/>
          <w:szCs w:val="24"/>
          <w:highlight w:val="white"/>
        </w:rPr>
      </w:pPr>
      <w:r w:rsidRPr="00161F12">
        <w:rPr>
          <w:sz w:val="24"/>
          <w:szCs w:val="24"/>
          <w:highlight w:val="white"/>
        </w:rPr>
        <w:t>La linfadenectomía pélvica extendida (LPE) constituye el estándar para la estadificación ganglionar en el CaP localizado de riesgo intermedio desfavorable y alto</w:t>
      </w:r>
      <w:hyperlink r:id="rId8">
        <w:r w:rsidRPr="00161F12">
          <w:rPr>
            <w:sz w:val="24"/>
            <w:szCs w:val="24"/>
          </w:rPr>
          <w:t>(3)</w:t>
        </w:r>
      </w:hyperlink>
      <w:r w:rsidRPr="00161F12">
        <w:rPr>
          <w:sz w:val="24"/>
          <w:szCs w:val="24"/>
          <w:highlight w:val="white"/>
        </w:rPr>
        <w:t>. A pesar de su valor pronóstico, su beneficio terapéutico sigue siendo motivo de debate, ya que no se ha demostrado un impacto consistente en supervivencia global en ensayos aleatorizados, aunque recientes estudios han mostrado que la LPE aumenta el tiempo libre de progresión a metástasis</w:t>
      </w:r>
      <w:hyperlink r:id="rId9">
        <w:r w:rsidRPr="00161F12">
          <w:rPr>
            <w:sz w:val="24"/>
            <w:szCs w:val="24"/>
          </w:rPr>
          <w:t>(4,5)</w:t>
        </w:r>
      </w:hyperlink>
      <w:r w:rsidR="00B117BF">
        <w:rPr>
          <w:sz w:val="24"/>
          <w:szCs w:val="24"/>
          <w:highlight w:val="white"/>
        </w:rPr>
        <w:t>, lamentablemente este es un procedimiento que</w:t>
      </w:r>
      <w:r w:rsidRPr="00161F12">
        <w:rPr>
          <w:sz w:val="24"/>
          <w:szCs w:val="24"/>
          <w:highlight w:val="white"/>
        </w:rPr>
        <w:t xml:space="preserve">  se asocia a una morbilidad no despreciable, incluyendo formación de </w:t>
      </w:r>
      <w:proofErr w:type="spellStart"/>
      <w:r w:rsidRPr="00161F12">
        <w:rPr>
          <w:sz w:val="24"/>
          <w:szCs w:val="24"/>
          <w:highlight w:val="white"/>
        </w:rPr>
        <w:t>linfoceles</w:t>
      </w:r>
      <w:proofErr w:type="spellEnd"/>
      <w:r w:rsidRPr="00161F12">
        <w:rPr>
          <w:sz w:val="24"/>
          <w:szCs w:val="24"/>
          <w:highlight w:val="white"/>
        </w:rPr>
        <w:t xml:space="preserve"> sintomáticos, sangrado, infecciones, edema extremidades inferiores, lesión nerviosa o ureteral</w:t>
      </w:r>
      <w:hyperlink r:id="rId10">
        <w:r w:rsidRPr="00161F12">
          <w:rPr>
            <w:sz w:val="24"/>
            <w:szCs w:val="24"/>
          </w:rPr>
          <w:t>(5)</w:t>
        </w:r>
      </w:hyperlink>
      <w:r w:rsidRPr="00161F12">
        <w:rPr>
          <w:sz w:val="24"/>
          <w:szCs w:val="24"/>
          <w:highlight w:val="white"/>
        </w:rPr>
        <w:t xml:space="preserve">. En este contexto, la adecuada selección de pacientes candidatos a LPE resulta esencial para balancear los riesgos quirúrgicos </w:t>
      </w:r>
      <w:r w:rsidRPr="00161F12">
        <w:rPr>
          <w:sz w:val="24"/>
          <w:szCs w:val="24"/>
          <w:highlight w:val="white"/>
        </w:rPr>
        <w:lastRenderedPageBreak/>
        <w:t xml:space="preserve">asociados con su utilidad diagnóstica, pronóstica y </w:t>
      </w:r>
      <w:r w:rsidR="00B117BF">
        <w:rPr>
          <w:sz w:val="24"/>
          <w:szCs w:val="24"/>
          <w:highlight w:val="white"/>
        </w:rPr>
        <w:t>potencialmente</w:t>
      </w:r>
      <w:r w:rsidRPr="00161F12">
        <w:rPr>
          <w:sz w:val="24"/>
          <w:szCs w:val="24"/>
          <w:highlight w:val="white"/>
        </w:rPr>
        <w:t xml:space="preserve"> terapéutica. </w:t>
      </w:r>
      <w:r w:rsidRPr="00161F12">
        <w:rPr>
          <w:color w:val="000000"/>
          <w:sz w:val="24"/>
          <w:szCs w:val="24"/>
          <w:highlight w:val="white"/>
        </w:rPr>
        <w:t xml:space="preserve">Actualmente, las guías clínicas aconsejan la linfadenectomía pélvica extendida en pacientes con cáncer de próstata de riesgo intermedio o alto, siempre que el riesgo de </w:t>
      </w:r>
      <w:r w:rsidRPr="00161F12">
        <w:rPr>
          <w:sz w:val="24"/>
          <w:szCs w:val="24"/>
          <w:highlight w:val="white"/>
        </w:rPr>
        <w:t>compromiso</w:t>
      </w:r>
      <w:r w:rsidRPr="00161F12">
        <w:rPr>
          <w:color w:val="000000"/>
          <w:sz w:val="24"/>
          <w:szCs w:val="24"/>
          <w:highlight w:val="white"/>
        </w:rPr>
        <w:t xml:space="preserve"> </w:t>
      </w:r>
      <w:proofErr w:type="spellStart"/>
      <w:r w:rsidRPr="00161F12">
        <w:rPr>
          <w:color w:val="000000"/>
          <w:sz w:val="24"/>
          <w:szCs w:val="24"/>
          <w:highlight w:val="white"/>
        </w:rPr>
        <w:t>linfonodal</w:t>
      </w:r>
      <w:proofErr w:type="spellEnd"/>
      <w:r w:rsidRPr="00161F12">
        <w:rPr>
          <w:color w:val="000000"/>
          <w:sz w:val="24"/>
          <w:szCs w:val="24"/>
          <w:highlight w:val="white"/>
        </w:rPr>
        <w:t xml:space="preserve"> sea considerable, basándose en nomogramas validados</w:t>
      </w:r>
      <w:hyperlink r:id="rId11">
        <w:r w:rsidRPr="00161F12">
          <w:rPr>
            <w:sz w:val="24"/>
            <w:szCs w:val="24"/>
          </w:rPr>
          <w:t>(1,6)</w:t>
        </w:r>
      </w:hyperlink>
      <w:r w:rsidRPr="00161F12">
        <w:rPr>
          <w:color w:val="000000"/>
          <w:sz w:val="24"/>
          <w:szCs w:val="24"/>
          <w:highlight w:val="white"/>
        </w:rPr>
        <w:t>.</w:t>
      </w:r>
    </w:p>
    <w:p w14:paraId="348E800F" w14:textId="31713C06" w:rsidR="00F26601" w:rsidRPr="00161F12" w:rsidRDefault="00000000" w:rsidP="00161F12">
      <w:pPr>
        <w:spacing w:before="240" w:after="240" w:line="480" w:lineRule="auto"/>
        <w:rPr>
          <w:sz w:val="24"/>
          <w:szCs w:val="24"/>
          <w:highlight w:val="white"/>
        </w:rPr>
      </w:pPr>
      <w:r w:rsidRPr="00161F12">
        <w:rPr>
          <w:sz w:val="24"/>
          <w:szCs w:val="24"/>
          <w:highlight w:val="white"/>
        </w:rPr>
        <w:t>Diversos nomogramas preoperatorios han sido desarrollados con el objetivo de predecir la probabilidad de invasión ganglionar (LNI) y optimizar la indicación de LPE</w:t>
      </w:r>
      <w:r w:rsidR="00B117BF">
        <w:rPr>
          <w:sz w:val="24"/>
          <w:szCs w:val="24"/>
          <w:highlight w:val="white"/>
        </w:rPr>
        <w:t xml:space="preserve"> entre los pacientes con </w:t>
      </w:r>
      <w:proofErr w:type="spellStart"/>
      <w:r w:rsidR="00B117BF">
        <w:rPr>
          <w:sz w:val="24"/>
          <w:szCs w:val="24"/>
          <w:highlight w:val="white"/>
        </w:rPr>
        <w:t>CaP</w:t>
      </w:r>
      <w:r w:rsidRPr="00161F12">
        <w:rPr>
          <w:sz w:val="24"/>
          <w:szCs w:val="24"/>
          <w:highlight w:val="white"/>
        </w:rPr>
        <w:t>.</w:t>
      </w:r>
      <w:proofErr w:type="spellEnd"/>
      <w:r w:rsidRPr="00161F12">
        <w:rPr>
          <w:sz w:val="24"/>
          <w:szCs w:val="24"/>
          <w:highlight w:val="white"/>
        </w:rPr>
        <w:t xml:space="preserve"> Entre los más utilizados destacan el modelo del Memorial Sloan Kettering </w:t>
      </w:r>
      <w:r w:rsidR="00B117BF" w:rsidRPr="00161F12">
        <w:rPr>
          <w:sz w:val="24"/>
          <w:szCs w:val="24"/>
          <w:highlight w:val="white"/>
        </w:rPr>
        <w:t>Cáncer</w:t>
      </w:r>
      <w:r w:rsidRPr="00161F12">
        <w:rPr>
          <w:sz w:val="24"/>
          <w:szCs w:val="24"/>
          <w:highlight w:val="white"/>
        </w:rPr>
        <w:t xml:space="preserve"> Center (MSKCC) y los nomogramas de </w:t>
      </w:r>
      <w:proofErr w:type="spellStart"/>
      <w:r w:rsidRPr="00161F12">
        <w:rPr>
          <w:sz w:val="24"/>
          <w:szCs w:val="24"/>
          <w:highlight w:val="white"/>
        </w:rPr>
        <w:t>Briganti</w:t>
      </w:r>
      <w:proofErr w:type="spellEnd"/>
      <w:r w:rsidRPr="00161F12">
        <w:rPr>
          <w:sz w:val="24"/>
          <w:szCs w:val="24"/>
          <w:highlight w:val="white"/>
        </w:rPr>
        <w:t xml:space="preserve"> 2012 y 2018, ampliamente validados en distintas poblaciones</w:t>
      </w:r>
      <w:hyperlink r:id="rId12">
        <w:r w:rsidRPr="00161F12">
          <w:rPr>
            <w:sz w:val="24"/>
            <w:szCs w:val="24"/>
          </w:rPr>
          <w:t>(7–9)</w:t>
        </w:r>
      </w:hyperlink>
      <w:r w:rsidRPr="00161F12">
        <w:rPr>
          <w:sz w:val="24"/>
          <w:szCs w:val="24"/>
          <w:highlight w:val="white"/>
        </w:rPr>
        <w:t xml:space="preserve"> . Estos modelos, basados en variables clínicas, </w:t>
      </w:r>
      <w:r w:rsidR="00B117BF" w:rsidRPr="00161F12">
        <w:rPr>
          <w:sz w:val="24"/>
          <w:szCs w:val="24"/>
          <w:highlight w:val="white"/>
        </w:rPr>
        <w:t>bioquímicas, histológicas</w:t>
      </w:r>
      <w:r w:rsidRPr="00161F12">
        <w:rPr>
          <w:sz w:val="24"/>
          <w:szCs w:val="24"/>
          <w:highlight w:val="white"/>
        </w:rPr>
        <w:t xml:space="preserve"> e </w:t>
      </w:r>
      <w:r w:rsidR="00B117BF" w:rsidRPr="00161F12">
        <w:rPr>
          <w:sz w:val="24"/>
          <w:szCs w:val="24"/>
          <w:highlight w:val="white"/>
        </w:rPr>
        <w:t>imagenológicas</w:t>
      </w:r>
      <w:r w:rsidRPr="00161F12">
        <w:rPr>
          <w:sz w:val="24"/>
          <w:szCs w:val="24"/>
          <w:highlight w:val="white"/>
        </w:rPr>
        <w:t xml:space="preserve"> basadas en resonancia magnética de próstata (</w:t>
      </w:r>
      <w:proofErr w:type="spellStart"/>
      <w:r w:rsidRPr="00161F12">
        <w:rPr>
          <w:sz w:val="24"/>
          <w:szCs w:val="24"/>
          <w:highlight w:val="white"/>
        </w:rPr>
        <w:t>mpMRI</w:t>
      </w:r>
      <w:proofErr w:type="spellEnd"/>
      <w:r w:rsidRPr="00161F12">
        <w:rPr>
          <w:sz w:val="24"/>
          <w:szCs w:val="24"/>
          <w:highlight w:val="white"/>
        </w:rPr>
        <w:t>), han mostrado un desempeño adecuado (AUC 0,65–0,75), pero fueron diseñados antes de la incorporación sistemática de técnicas de tomografía por emisión de positrones con antígeno prostático de membrana específica (PET PSMA).</w:t>
      </w:r>
    </w:p>
    <w:p w14:paraId="59D3897A" w14:textId="601873D1" w:rsidR="00F26601" w:rsidRPr="00161F12" w:rsidRDefault="00000000" w:rsidP="00161F12">
      <w:pPr>
        <w:spacing w:before="240" w:after="240" w:line="480" w:lineRule="auto"/>
        <w:rPr>
          <w:sz w:val="24"/>
          <w:szCs w:val="24"/>
          <w:highlight w:val="white"/>
        </w:rPr>
      </w:pPr>
      <w:r w:rsidRPr="00161F12">
        <w:rPr>
          <w:sz w:val="24"/>
          <w:szCs w:val="24"/>
          <w:highlight w:val="white"/>
        </w:rPr>
        <w:t>El advenimiento del PET PSMA ha modificado el paradigma del estadiaje del CaP, demostrando una sensibilidad y especificidad significativamente superiores a las de las imágenes convencionales para detectar metástasis ganglionares y a distancia</w:t>
      </w:r>
      <w:hyperlink r:id="rId13">
        <w:r w:rsidRPr="00161F12">
          <w:rPr>
            <w:sz w:val="24"/>
            <w:szCs w:val="24"/>
          </w:rPr>
          <w:t>(10)</w:t>
        </w:r>
      </w:hyperlink>
      <w:r w:rsidRPr="00161F12">
        <w:rPr>
          <w:sz w:val="24"/>
          <w:szCs w:val="24"/>
          <w:highlight w:val="white"/>
        </w:rPr>
        <w:t>. Sin embargo, su sensibilidad para metástasis microscópicas permanece limitada, fluctuando entre 40 y 50%</w:t>
      </w:r>
      <w:hyperlink r:id="rId14">
        <w:r w:rsidRPr="00161F12">
          <w:rPr>
            <w:sz w:val="24"/>
            <w:szCs w:val="24"/>
          </w:rPr>
          <w:t>(11)</w:t>
        </w:r>
      </w:hyperlink>
      <w:r w:rsidRPr="00161F12">
        <w:rPr>
          <w:sz w:val="24"/>
          <w:szCs w:val="24"/>
          <w:highlight w:val="white"/>
        </w:rPr>
        <w:t>, mostrando además tasa</w:t>
      </w:r>
      <w:r w:rsidR="00B117BF">
        <w:rPr>
          <w:sz w:val="24"/>
          <w:szCs w:val="24"/>
          <w:highlight w:val="white"/>
        </w:rPr>
        <w:t>s</w:t>
      </w:r>
      <w:r w:rsidRPr="00161F12">
        <w:rPr>
          <w:sz w:val="24"/>
          <w:szCs w:val="24"/>
          <w:highlight w:val="white"/>
        </w:rPr>
        <w:t xml:space="preserve"> de detección que varían según el tamaño de los linfonodos, 50 % y 90 % para diámetros del eje corto mayores de 2,3 mm y 4,5 mm, respectivamente</w:t>
      </w:r>
      <w:hyperlink r:id="rId15">
        <w:r w:rsidRPr="00161F12">
          <w:rPr>
            <w:sz w:val="24"/>
            <w:szCs w:val="24"/>
          </w:rPr>
          <w:t>(12)</w:t>
        </w:r>
      </w:hyperlink>
      <w:r w:rsidRPr="00161F12">
        <w:rPr>
          <w:sz w:val="24"/>
          <w:szCs w:val="24"/>
          <w:highlight w:val="white"/>
        </w:rPr>
        <w:t xml:space="preserve">.  lo que impide sustituir completamente la LPE como método de referencia. Este escenario ha impulsado el desarrollo de modelos predictivos que integran la información del </w:t>
      </w:r>
      <w:r w:rsidRPr="00161F12">
        <w:rPr>
          <w:sz w:val="24"/>
          <w:szCs w:val="24"/>
          <w:highlight w:val="white"/>
        </w:rPr>
        <w:lastRenderedPageBreak/>
        <w:t>PET PSMA con parámetros clínicos e histopatológicos, buscando mejorar la discriminación y calibración en la predicción de LNI.</w:t>
      </w:r>
    </w:p>
    <w:p w14:paraId="234DF8D8" w14:textId="51A7E008" w:rsidR="00F26601" w:rsidRPr="00161F12" w:rsidRDefault="00000000" w:rsidP="00161F12">
      <w:pPr>
        <w:spacing w:before="240" w:after="240" w:line="480" w:lineRule="auto"/>
        <w:rPr>
          <w:sz w:val="24"/>
          <w:szCs w:val="24"/>
          <w:highlight w:val="white"/>
        </w:rPr>
      </w:pPr>
      <w:r w:rsidRPr="00161F12">
        <w:rPr>
          <w:sz w:val="24"/>
          <w:szCs w:val="24"/>
          <w:highlight w:val="white"/>
        </w:rPr>
        <w:t xml:space="preserve">En 2023, Vis y col. desarrollaron el nomograma </w:t>
      </w:r>
      <w:proofErr w:type="spellStart"/>
      <w:r w:rsidRPr="00161F12">
        <w:rPr>
          <w:sz w:val="24"/>
          <w:szCs w:val="24"/>
          <w:highlight w:val="white"/>
        </w:rPr>
        <w:t>Amsterdam</w:t>
      </w:r>
      <w:proofErr w:type="spellEnd"/>
      <w:r w:rsidRPr="00161F12">
        <w:rPr>
          <w:sz w:val="24"/>
          <w:szCs w:val="24"/>
          <w:highlight w:val="white"/>
        </w:rPr>
        <w:t>–Brisbane–</w:t>
      </w:r>
      <w:proofErr w:type="spellStart"/>
      <w:r w:rsidRPr="00161F12">
        <w:rPr>
          <w:sz w:val="24"/>
          <w:szCs w:val="24"/>
          <w:highlight w:val="white"/>
        </w:rPr>
        <w:t>Sydney</w:t>
      </w:r>
      <w:proofErr w:type="spellEnd"/>
      <w:r w:rsidRPr="00161F12">
        <w:rPr>
          <w:sz w:val="24"/>
          <w:szCs w:val="24"/>
          <w:highlight w:val="white"/>
        </w:rPr>
        <w:t xml:space="preserve"> (ABS), que combina datos clínicos, biopsia sistemática y dirigida, </w:t>
      </w:r>
      <w:proofErr w:type="spellStart"/>
      <w:r w:rsidRPr="00161F12">
        <w:rPr>
          <w:sz w:val="24"/>
          <w:szCs w:val="24"/>
          <w:highlight w:val="white"/>
        </w:rPr>
        <w:t>mpMRI</w:t>
      </w:r>
      <w:proofErr w:type="spellEnd"/>
      <w:r w:rsidRPr="00161F12">
        <w:rPr>
          <w:sz w:val="24"/>
          <w:szCs w:val="24"/>
          <w:highlight w:val="white"/>
        </w:rPr>
        <w:t xml:space="preserve"> y hallazgos del PET </w:t>
      </w:r>
      <w:proofErr w:type="gramStart"/>
      <w:r w:rsidRPr="00161F12">
        <w:rPr>
          <w:sz w:val="24"/>
          <w:szCs w:val="24"/>
          <w:highlight w:val="white"/>
        </w:rPr>
        <w:t>PSMA .</w:t>
      </w:r>
      <w:proofErr w:type="gramEnd"/>
      <w:r w:rsidRPr="00161F12">
        <w:rPr>
          <w:sz w:val="24"/>
          <w:szCs w:val="24"/>
          <w:highlight w:val="white"/>
        </w:rPr>
        <w:t xml:space="preserve"> Este modelo mostró una excelente capacidad discriminativa (AUC 0,81) y una calibración superior respecto a los nomogramas </w:t>
      </w:r>
      <w:proofErr w:type="spellStart"/>
      <w:r w:rsidRPr="00161F12">
        <w:rPr>
          <w:sz w:val="24"/>
          <w:szCs w:val="24"/>
          <w:highlight w:val="white"/>
        </w:rPr>
        <w:t>Briganti</w:t>
      </w:r>
      <w:proofErr w:type="spellEnd"/>
      <w:r w:rsidRPr="00161F12">
        <w:rPr>
          <w:sz w:val="24"/>
          <w:szCs w:val="24"/>
          <w:highlight w:val="white"/>
        </w:rPr>
        <w:t xml:space="preserve"> 2017, </w:t>
      </w:r>
      <w:proofErr w:type="spellStart"/>
      <w:r w:rsidRPr="00161F12">
        <w:rPr>
          <w:sz w:val="24"/>
          <w:szCs w:val="24"/>
          <w:highlight w:val="white"/>
        </w:rPr>
        <w:t>Briganti</w:t>
      </w:r>
      <w:proofErr w:type="spellEnd"/>
      <w:r w:rsidRPr="00161F12">
        <w:rPr>
          <w:sz w:val="24"/>
          <w:szCs w:val="24"/>
          <w:highlight w:val="white"/>
        </w:rPr>
        <w:t xml:space="preserve"> 2018 y MSKCC</w:t>
      </w:r>
      <w:hyperlink r:id="rId16">
        <w:r w:rsidRPr="00161F12">
          <w:rPr>
            <w:sz w:val="24"/>
            <w:szCs w:val="24"/>
          </w:rPr>
          <w:t>(1</w:t>
        </w:r>
        <w:r w:rsidRPr="00161F12">
          <w:rPr>
            <w:sz w:val="24"/>
            <w:szCs w:val="24"/>
          </w:rPr>
          <w:t>3</w:t>
        </w:r>
        <w:r w:rsidRPr="00161F12">
          <w:rPr>
            <w:sz w:val="24"/>
            <w:szCs w:val="24"/>
          </w:rPr>
          <w:t>)</w:t>
        </w:r>
      </w:hyperlink>
      <w:r w:rsidRPr="00161F12">
        <w:rPr>
          <w:sz w:val="24"/>
          <w:szCs w:val="24"/>
          <w:highlight w:val="white"/>
        </w:rPr>
        <w:t xml:space="preserve">. en la misma </w:t>
      </w:r>
      <w:proofErr w:type="spellStart"/>
      <w:r w:rsidRPr="00161F12">
        <w:rPr>
          <w:sz w:val="24"/>
          <w:szCs w:val="24"/>
          <w:highlight w:val="white"/>
        </w:rPr>
        <w:t>linea</w:t>
      </w:r>
      <w:proofErr w:type="spellEnd"/>
      <w:r w:rsidRPr="00161F12">
        <w:rPr>
          <w:sz w:val="24"/>
          <w:szCs w:val="24"/>
          <w:highlight w:val="white"/>
        </w:rPr>
        <w:t xml:space="preserve"> Meijer et al. demostraron que la incorporación del PET PSMA mejora significativamente la capacidad predictiva de los modelos preexistentes, incrementando sus AUC hasta 0,82 y aportando un beneficio clínico neto en análisis de decisión</w:t>
      </w:r>
      <w:hyperlink r:id="rId17">
        <w:r w:rsidRPr="00161F12">
          <w:rPr>
            <w:sz w:val="24"/>
            <w:szCs w:val="24"/>
          </w:rPr>
          <w:t>(14)</w:t>
        </w:r>
      </w:hyperlink>
      <w:r w:rsidRPr="00161F12">
        <w:rPr>
          <w:sz w:val="24"/>
          <w:szCs w:val="24"/>
          <w:highlight w:val="white"/>
        </w:rPr>
        <w:t xml:space="preserve">. Validaciones externas recientes, como las realizadas por Van Bergen et al. y </w:t>
      </w:r>
      <w:proofErr w:type="spellStart"/>
      <w:r w:rsidRPr="00161F12">
        <w:rPr>
          <w:sz w:val="24"/>
          <w:szCs w:val="24"/>
          <w:highlight w:val="white"/>
        </w:rPr>
        <w:t>Sordelli</w:t>
      </w:r>
      <w:proofErr w:type="spellEnd"/>
      <w:r w:rsidRPr="00161F12">
        <w:rPr>
          <w:sz w:val="24"/>
          <w:szCs w:val="24"/>
          <w:highlight w:val="white"/>
        </w:rPr>
        <w:t xml:space="preserve"> et al., han confirmado la robustez y aplicabilidad del modelo ABS en diferentes contextos, con desempeños comparables a los reportados en la cohorte original (AUC 0,75–0,81) </w:t>
      </w:r>
      <w:hyperlink r:id="rId18">
        <w:r w:rsidRPr="00161F12">
          <w:rPr>
            <w:sz w:val="24"/>
            <w:szCs w:val="24"/>
          </w:rPr>
          <w:t>(15,16)</w:t>
        </w:r>
      </w:hyperlink>
      <w:r w:rsidRPr="00161F12">
        <w:rPr>
          <w:sz w:val="24"/>
          <w:szCs w:val="24"/>
          <w:highlight w:val="white"/>
        </w:rPr>
        <w:t>.</w:t>
      </w:r>
    </w:p>
    <w:p w14:paraId="0150430D" w14:textId="0B4F509B" w:rsidR="00F26601" w:rsidRPr="00161F12" w:rsidRDefault="00000000" w:rsidP="00161F12">
      <w:pPr>
        <w:spacing w:before="240" w:after="240" w:line="480" w:lineRule="auto"/>
        <w:rPr>
          <w:sz w:val="24"/>
          <w:szCs w:val="24"/>
          <w:highlight w:val="white"/>
        </w:rPr>
      </w:pPr>
      <w:r w:rsidRPr="00161F12">
        <w:rPr>
          <w:sz w:val="24"/>
          <w:szCs w:val="24"/>
          <w:highlight w:val="white"/>
        </w:rPr>
        <w:t xml:space="preserve">Lamentablemente la gran mayoría de estas herramientas predictivas son desarrolladas y validadas en grandes centros académicos, de Europa, Estados Unidos o Australia, lo que podría implicar diferencias </w:t>
      </w:r>
      <w:r w:rsidR="00B117BF">
        <w:rPr>
          <w:sz w:val="24"/>
          <w:szCs w:val="24"/>
          <w:highlight w:val="white"/>
        </w:rPr>
        <w:t>al momento</w:t>
      </w:r>
      <w:r w:rsidRPr="00161F12">
        <w:rPr>
          <w:sz w:val="24"/>
          <w:szCs w:val="24"/>
          <w:highlight w:val="white"/>
        </w:rPr>
        <w:t xml:space="preserve"> de su aplicación en nuestra realidad</w:t>
      </w:r>
      <w:r w:rsidR="00B117BF">
        <w:rPr>
          <w:sz w:val="24"/>
          <w:szCs w:val="24"/>
          <w:highlight w:val="white"/>
        </w:rPr>
        <w:t>.</w:t>
      </w:r>
      <w:r w:rsidRPr="00161F12">
        <w:rPr>
          <w:sz w:val="24"/>
          <w:szCs w:val="24"/>
          <w:highlight w:val="white"/>
        </w:rPr>
        <w:t xml:space="preserve"> En Chile, nuestro grupo previamente realizó la validación externa del nomograma </w:t>
      </w:r>
      <w:proofErr w:type="spellStart"/>
      <w:r w:rsidRPr="00161F12">
        <w:rPr>
          <w:sz w:val="24"/>
          <w:szCs w:val="24"/>
          <w:highlight w:val="white"/>
        </w:rPr>
        <w:t>Briganti</w:t>
      </w:r>
      <w:proofErr w:type="spellEnd"/>
      <w:r w:rsidR="00B117BF">
        <w:rPr>
          <w:sz w:val="24"/>
          <w:szCs w:val="24"/>
          <w:highlight w:val="white"/>
        </w:rPr>
        <w:t xml:space="preserve"> </w:t>
      </w:r>
      <w:r w:rsidRPr="00161F12">
        <w:rPr>
          <w:sz w:val="24"/>
          <w:szCs w:val="24"/>
          <w:highlight w:val="white"/>
        </w:rPr>
        <w:t>2018 en una cohorte institucional de pacientes sometidos a PRR y LPE, demostrando una adecuada capacidad discriminativa (AUC 0,80) y un excelente valor predictivo negativo (91,7 %)</w:t>
      </w:r>
      <w:r w:rsidR="00B117BF">
        <w:rPr>
          <w:sz w:val="24"/>
          <w:szCs w:val="24"/>
          <w:highlight w:val="white"/>
        </w:rPr>
        <w:t>, además se</w:t>
      </w:r>
      <w:r w:rsidRPr="00161F12">
        <w:rPr>
          <w:sz w:val="24"/>
          <w:szCs w:val="24"/>
          <w:highlight w:val="white"/>
        </w:rPr>
        <w:t xml:space="preserve"> evidenció que un punto de corte menor al recomendado internacionalmente ( 5,6 % vs 7 %) optimizaba la sensibilidad y la validez global del modelo para nuestra población</w:t>
      </w:r>
      <w:hyperlink r:id="rId19">
        <w:r w:rsidRPr="00161F12">
          <w:rPr>
            <w:sz w:val="24"/>
            <w:szCs w:val="24"/>
          </w:rPr>
          <w:t>(17)</w:t>
        </w:r>
      </w:hyperlink>
      <w:r w:rsidRPr="00161F12">
        <w:rPr>
          <w:sz w:val="24"/>
          <w:szCs w:val="24"/>
          <w:highlight w:val="white"/>
        </w:rPr>
        <w:t xml:space="preserve">, </w:t>
      </w:r>
      <w:r w:rsidRPr="00161F12">
        <w:rPr>
          <w:sz w:val="24"/>
          <w:szCs w:val="24"/>
          <w:highlight w:val="white"/>
        </w:rPr>
        <w:lastRenderedPageBreak/>
        <w:t>reforzando la necesidad de adaptar las herramientas predictivas a las características epidemiológicas locales.</w:t>
      </w:r>
    </w:p>
    <w:p w14:paraId="7F28EF42" w14:textId="6F47D2BE" w:rsidR="00F26601" w:rsidRPr="00161F12" w:rsidRDefault="00000000" w:rsidP="00161F12">
      <w:pPr>
        <w:spacing w:before="240" w:after="240" w:line="480" w:lineRule="auto"/>
        <w:rPr>
          <w:sz w:val="24"/>
          <w:szCs w:val="24"/>
          <w:highlight w:val="white"/>
        </w:rPr>
      </w:pPr>
      <w:r w:rsidRPr="00161F12">
        <w:rPr>
          <w:sz w:val="24"/>
          <w:szCs w:val="24"/>
          <w:highlight w:val="white"/>
        </w:rPr>
        <w:t xml:space="preserve">Sobre esa base, el presente trabajo busca realizar una validación externa del nomograma </w:t>
      </w:r>
      <w:proofErr w:type="spellStart"/>
      <w:r w:rsidRPr="00161F12">
        <w:rPr>
          <w:sz w:val="24"/>
          <w:szCs w:val="24"/>
          <w:highlight w:val="white"/>
        </w:rPr>
        <w:t>Amsterdam</w:t>
      </w:r>
      <w:proofErr w:type="spellEnd"/>
      <w:r w:rsidRPr="00161F12">
        <w:rPr>
          <w:sz w:val="24"/>
          <w:szCs w:val="24"/>
          <w:highlight w:val="white"/>
        </w:rPr>
        <w:t>–Brisbane–</w:t>
      </w:r>
      <w:proofErr w:type="spellStart"/>
      <w:r w:rsidRPr="00161F12">
        <w:rPr>
          <w:sz w:val="24"/>
          <w:szCs w:val="24"/>
          <w:highlight w:val="white"/>
        </w:rPr>
        <w:t>Sydney</w:t>
      </w:r>
      <w:proofErr w:type="spellEnd"/>
      <w:r w:rsidRPr="00161F12">
        <w:rPr>
          <w:sz w:val="24"/>
          <w:szCs w:val="24"/>
          <w:highlight w:val="white"/>
        </w:rPr>
        <w:t xml:space="preserve"> (ABS) y comparar su desempeño con el modelo </w:t>
      </w:r>
      <w:proofErr w:type="spellStart"/>
      <w:r w:rsidRPr="00161F12">
        <w:rPr>
          <w:sz w:val="24"/>
          <w:szCs w:val="24"/>
          <w:highlight w:val="white"/>
        </w:rPr>
        <w:t>Briganti</w:t>
      </w:r>
      <w:proofErr w:type="spellEnd"/>
      <w:r w:rsidRPr="00161F12">
        <w:rPr>
          <w:sz w:val="24"/>
          <w:szCs w:val="24"/>
          <w:highlight w:val="white"/>
        </w:rPr>
        <w:t xml:space="preserve"> 2018 en una cohorte chilena contemporánea, explorando además ajustes de puntos de corte que </w:t>
      </w:r>
      <w:r w:rsidR="00B117BF">
        <w:rPr>
          <w:sz w:val="24"/>
          <w:szCs w:val="24"/>
          <w:highlight w:val="white"/>
        </w:rPr>
        <w:t xml:space="preserve">puedan </w:t>
      </w:r>
      <w:r w:rsidRPr="00161F12">
        <w:rPr>
          <w:sz w:val="24"/>
          <w:szCs w:val="24"/>
          <w:highlight w:val="white"/>
        </w:rPr>
        <w:t>optimi</w:t>
      </w:r>
      <w:r w:rsidR="00B117BF">
        <w:rPr>
          <w:sz w:val="24"/>
          <w:szCs w:val="24"/>
          <w:highlight w:val="white"/>
        </w:rPr>
        <w:t>zar</w:t>
      </w:r>
      <w:r w:rsidRPr="00161F12">
        <w:rPr>
          <w:sz w:val="24"/>
          <w:szCs w:val="24"/>
          <w:highlight w:val="white"/>
        </w:rPr>
        <w:t xml:space="preserve"> la indicación de LPE en nuestra población.</w:t>
      </w:r>
    </w:p>
    <w:p w14:paraId="606FB741" w14:textId="77777777" w:rsidR="00F26601" w:rsidRPr="00161F12" w:rsidRDefault="00F26601" w:rsidP="00161F12">
      <w:pPr>
        <w:spacing w:before="240" w:after="240" w:line="480" w:lineRule="auto"/>
        <w:rPr>
          <w:sz w:val="24"/>
          <w:szCs w:val="24"/>
          <w:highlight w:val="white"/>
        </w:rPr>
      </w:pPr>
    </w:p>
    <w:p w14:paraId="38D61CCB" w14:textId="5EE1AE34" w:rsidR="00F26601" w:rsidRPr="00161F12" w:rsidRDefault="00000000" w:rsidP="00161F12">
      <w:pPr>
        <w:pStyle w:val="Ttulo2"/>
        <w:keepNext w:val="0"/>
        <w:keepLines w:val="0"/>
        <w:spacing w:after="80" w:line="480" w:lineRule="auto"/>
        <w:rPr>
          <w:b/>
          <w:sz w:val="24"/>
          <w:szCs w:val="24"/>
          <w:highlight w:val="white"/>
        </w:rPr>
      </w:pPr>
      <w:bookmarkStart w:id="1" w:name="_t2qd49o8glvb" w:colFirst="0" w:colLast="0"/>
      <w:bookmarkEnd w:id="1"/>
      <w:r w:rsidRPr="00161F12">
        <w:rPr>
          <w:b/>
          <w:sz w:val="24"/>
          <w:szCs w:val="24"/>
          <w:highlight w:val="white"/>
        </w:rPr>
        <w:t>Material</w:t>
      </w:r>
      <w:r w:rsidR="00B117BF">
        <w:rPr>
          <w:b/>
          <w:sz w:val="24"/>
          <w:szCs w:val="24"/>
          <w:highlight w:val="white"/>
        </w:rPr>
        <w:t>es</w:t>
      </w:r>
      <w:r w:rsidRPr="00161F12">
        <w:rPr>
          <w:b/>
          <w:sz w:val="24"/>
          <w:szCs w:val="24"/>
          <w:highlight w:val="white"/>
        </w:rPr>
        <w:t xml:space="preserve"> y Método</w:t>
      </w:r>
      <w:r w:rsidR="00B117BF">
        <w:rPr>
          <w:b/>
          <w:sz w:val="24"/>
          <w:szCs w:val="24"/>
          <w:highlight w:val="white"/>
        </w:rPr>
        <w:t>s</w:t>
      </w:r>
    </w:p>
    <w:p w14:paraId="091B6BF8" w14:textId="6BC81C15" w:rsidR="00F26601" w:rsidRPr="00161F12" w:rsidRDefault="00000000" w:rsidP="00161F12">
      <w:pPr>
        <w:spacing w:before="240" w:after="240" w:line="480" w:lineRule="auto"/>
        <w:rPr>
          <w:b/>
          <w:color w:val="000000"/>
          <w:sz w:val="24"/>
          <w:szCs w:val="24"/>
          <w:highlight w:val="white"/>
        </w:rPr>
      </w:pPr>
      <w:r w:rsidRPr="00161F12">
        <w:rPr>
          <w:sz w:val="24"/>
          <w:szCs w:val="24"/>
          <w:highlight w:val="white"/>
        </w:rPr>
        <w:t xml:space="preserve">Se diseño un estudio observacional, retrospectivo y analítico basado en una base de datos institucional prospectiva de pacientes con cáncer de próstata localizado sometidos a prostatectomía radical robótica (PRR) </w:t>
      </w:r>
      <w:r w:rsidR="00B117BF">
        <w:rPr>
          <w:sz w:val="24"/>
          <w:szCs w:val="24"/>
          <w:highlight w:val="white"/>
        </w:rPr>
        <w:t xml:space="preserve">y </w:t>
      </w:r>
      <w:r w:rsidRPr="00161F12">
        <w:rPr>
          <w:sz w:val="24"/>
          <w:szCs w:val="24"/>
          <w:highlight w:val="white"/>
        </w:rPr>
        <w:t xml:space="preserve">LPE entre enero de 2015 y marzo de 2025 en la Clínica Alemana de Santiago. </w:t>
      </w:r>
    </w:p>
    <w:p w14:paraId="7C09C2DC" w14:textId="77777777" w:rsidR="00F26601" w:rsidRPr="00161F12" w:rsidRDefault="00000000" w:rsidP="00161F12">
      <w:pPr>
        <w:spacing w:before="240" w:after="240" w:line="480" w:lineRule="auto"/>
        <w:rPr>
          <w:sz w:val="24"/>
          <w:szCs w:val="24"/>
          <w:highlight w:val="white"/>
        </w:rPr>
      </w:pPr>
      <w:r w:rsidRPr="00161F12">
        <w:rPr>
          <w:rFonts w:eastAsia="Arial Unicode MS"/>
          <w:sz w:val="24"/>
          <w:szCs w:val="24"/>
          <w:highlight w:val="white"/>
        </w:rPr>
        <w:t xml:space="preserve">Se incluyeron los pacientes con diagnóstico histológico de adenocarcinoma prostático clínicamente localizado o localmente avanzado (≤ cT3b N0 M0) que contaban con evaluación preoperatoria mediante </w:t>
      </w:r>
      <w:proofErr w:type="spellStart"/>
      <w:r w:rsidRPr="00161F12">
        <w:rPr>
          <w:rFonts w:eastAsia="Arial Unicode MS"/>
          <w:sz w:val="24"/>
          <w:szCs w:val="24"/>
          <w:highlight w:val="white"/>
        </w:rPr>
        <w:t>mpMRI</w:t>
      </w:r>
      <w:proofErr w:type="spellEnd"/>
      <w:r w:rsidRPr="00161F12">
        <w:rPr>
          <w:rFonts w:eastAsia="Arial Unicode MS"/>
          <w:sz w:val="24"/>
          <w:szCs w:val="24"/>
          <w:highlight w:val="white"/>
        </w:rPr>
        <w:t xml:space="preserve"> y PET PSMA realizados dentro de los 3 meses previos a la cirugía y que se realizaran una PRR + LPE.</w:t>
      </w:r>
      <w:r w:rsidRPr="00161F12">
        <w:rPr>
          <w:rFonts w:eastAsia="Arial Unicode MS"/>
          <w:sz w:val="24"/>
          <w:szCs w:val="24"/>
          <w:highlight w:val="white"/>
        </w:rPr>
        <w:br/>
        <w:t xml:space="preserve"> Se excluyeron los pacientes con enfermedad metastásica (M1), ausencia de alguno de los estudios de imagen requeridos, tratamiento neoadyuvante previo o datos clínicos incompletos para el cálculo de ambos nomogramas.</w:t>
      </w:r>
    </w:p>
    <w:p w14:paraId="1D8573DA" w14:textId="311501A7" w:rsidR="00F26601" w:rsidRPr="00161F12" w:rsidRDefault="00000000" w:rsidP="00161F12">
      <w:pPr>
        <w:spacing w:before="240" w:after="240" w:line="480" w:lineRule="auto"/>
        <w:rPr>
          <w:sz w:val="24"/>
          <w:szCs w:val="24"/>
          <w:highlight w:val="white"/>
        </w:rPr>
      </w:pPr>
      <w:r w:rsidRPr="00161F12">
        <w:rPr>
          <w:sz w:val="24"/>
          <w:szCs w:val="24"/>
          <w:highlight w:val="white"/>
        </w:rPr>
        <w:t xml:space="preserve">Se registraron variables demográficas,  clínicas y de laboratorio como antígeno prostático específico (PSA) preoperatorio y estadio clínico por </w:t>
      </w:r>
      <w:proofErr w:type="spellStart"/>
      <w:r w:rsidRPr="00161F12">
        <w:rPr>
          <w:sz w:val="24"/>
          <w:szCs w:val="24"/>
          <w:highlight w:val="white"/>
        </w:rPr>
        <w:t>mpMRI</w:t>
      </w:r>
      <w:proofErr w:type="spellEnd"/>
      <w:r w:rsidRPr="00161F12">
        <w:rPr>
          <w:sz w:val="24"/>
          <w:szCs w:val="24"/>
          <w:highlight w:val="white"/>
        </w:rPr>
        <w:t xml:space="preserve">, se registró el </w:t>
      </w:r>
      <w:r w:rsidRPr="00161F12">
        <w:rPr>
          <w:sz w:val="24"/>
          <w:szCs w:val="24"/>
          <w:highlight w:val="white"/>
        </w:rPr>
        <w:lastRenderedPageBreak/>
        <w:t xml:space="preserve">Grado histológico según el </w:t>
      </w:r>
      <w:r w:rsidRPr="00161F12">
        <w:rPr>
          <w:i/>
          <w:sz w:val="24"/>
          <w:szCs w:val="24"/>
          <w:highlight w:val="white"/>
        </w:rPr>
        <w:t xml:space="preserve">International </w:t>
      </w:r>
      <w:proofErr w:type="spellStart"/>
      <w:r w:rsidRPr="00161F12">
        <w:rPr>
          <w:i/>
          <w:sz w:val="24"/>
          <w:szCs w:val="24"/>
          <w:highlight w:val="white"/>
        </w:rPr>
        <w:t>Society</w:t>
      </w:r>
      <w:proofErr w:type="spellEnd"/>
      <w:r w:rsidRPr="00161F12">
        <w:rPr>
          <w:i/>
          <w:sz w:val="24"/>
          <w:szCs w:val="24"/>
          <w:highlight w:val="white"/>
        </w:rPr>
        <w:t xml:space="preserve"> </w:t>
      </w:r>
      <w:proofErr w:type="spellStart"/>
      <w:r w:rsidRPr="00161F12">
        <w:rPr>
          <w:i/>
          <w:sz w:val="24"/>
          <w:szCs w:val="24"/>
          <w:highlight w:val="white"/>
        </w:rPr>
        <w:t>of</w:t>
      </w:r>
      <w:proofErr w:type="spellEnd"/>
      <w:r w:rsidRPr="00161F12">
        <w:rPr>
          <w:i/>
          <w:sz w:val="24"/>
          <w:szCs w:val="24"/>
          <w:highlight w:val="white"/>
        </w:rPr>
        <w:t xml:space="preserve"> </w:t>
      </w:r>
      <w:proofErr w:type="spellStart"/>
      <w:r w:rsidRPr="00161F12">
        <w:rPr>
          <w:i/>
          <w:sz w:val="24"/>
          <w:szCs w:val="24"/>
          <w:highlight w:val="white"/>
        </w:rPr>
        <w:t>Urological</w:t>
      </w:r>
      <w:proofErr w:type="spellEnd"/>
      <w:r w:rsidRPr="00161F12">
        <w:rPr>
          <w:i/>
          <w:sz w:val="24"/>
          <w:szCs w:val="24"/>
          <w:highlight w:val="white"/>
        </w:rPr>
        <w:t xml:space="preserve"> </w:t>
      </w:r>
      <w:proofErr w:type="spellStart"/>
      <w:r w:rsidRPr="00161F12">
        <w:rPr>
          <w:i/>
          <w:sz w:val="24"/>
          <w:szCs w:val="24"/>
          <w:highlight w:val="white"/>
        </w:rPr>
        <w:t>Pathology</w:t>
      </w:r>
      <w:proofErr w:type="spellEnd"/>
      <w:r w:rsidRPr="00161F12">
        <w:rPr>
          <w:i/>
          <w:sz w:val="24"/>
          <w:szCs w:val="24"/>
          <w:highlight w:val="white"/>
        </w:rPr>
        <w:t xml:space="preserve"> (ISUP)</w:t>
      </w:r>
      <w:r w:rsidRPr="00161F12">
        <w:rPr>
          <w:rFonts w:eastAsia="Arial Unicode MS"/>
          <w:sz w:val="24"/>
          <w:szCs w:val="24"/>
          <w:highlight w:val="white"/>
        </w:rPr>
        <w:t xml:space="preserve"> en biopsia dirigida y sistemática, Porcentaje de cilindros positivos con cáncer clínicamente significativo (ISUP ≥2) en la biopsia sistemática, los resultados  del PET PSMA se clasificaron en </w:t>
      </w:r>
      <w:r w:rsidRPr="00161F12">
        <w:rPr>
          <w:i/>
          <w:sz w:val="24"/>
          <w:szCs w:val="24"/>
          <w:highlight w:val="white"/>
        </w:rPr>
        <w:t>miN0 si no había evidencia de LNI</w:t>
      </w:r>
      <w:r w:rsidRPr="00161F12">
        <w:rPr>
          <w:sz w:val="24"/>
          <w:szCs w:val="24"/>
          <w:highlight w:val="white"/>
        </w:rPr>
        <w:t xml:space="preserve"> o </w:t>
      </w:r>
      <w:r w:rsidRPr="00161F12">
        <w:rPr>
          <w:i/>
          <w:sz w:val="24"/>
          <w:szCs w:val="24"/>
          <w:highlight w:val="white"/>
        </w:rPr>
        <w:t>miN1</w:t>
      </w:r>
      <w:r w:rsidRPr="00161F12">
        <w:rPr>
          <w:sz w:val="24"/>
          <w:szCs w:val="24"/>
          <w:highlight w:val="white"/>
        </w:rPr>
        <w:t xml:space="preserve"> si había evidencia categórica de LNI de acuerdo al informe del médico nuclear, el  resultado  histopatológico de la linfadenectomía se clasificó en pN0 si no había evidencia de LNI o pN1 si </w:t>
      </w:r>
      <w:r w:rsidR="00B117BF" w:rsidRPr="00161F12">
        <w:rPr>
          <w:sz w:val="24"/>
          <w:szCs w:val="24"/>
          <w:highlight w:val="white"/>
        </w:rPr>
        <w:t>había</w:t>
      </w:r>
      <w:r w:rsidRPr="00161F12">
        <w:rPr>
          <w:sz w:val="24"/>
          <w:szCs w:val="24"/>
          <w:highlight w:val="white"/>
        </w:rPr>
        <w:t xml:space="preserve"> evidencia de LNI, se registró el  número total de </w:t>
      </w:r>
      <w:proofErr w:type="spellStart"/>
      <w:r w:rsidRPr="00161F12">
        <w:rPr>
          <w:sz w:val="24"/>
          <w:szCs w:val="24"/>
          <w:highlight w:val="white"/>
        </w:rPr>
        <w:t>linfonodos</w:t>
      </w:r>
      <w:proofErr w:type="spellEnd"/>
      <w:r w:rsidRPr="00161F12">
        <w:rPr>
          <w:sz w:val="24"/>
          <w:szCs w:val="24"/>
          <w:highlight w:val="white"/>
        </w:rPr>
        <w:t xml:space="preserve"> extraídos y positivos.</w:t>
      </w:r>
    </w:p>
    <w:p w14:paraId="23BA2453" w14:textId="77777777" w:rsidR="00F26601" w:rsidRPr="00161F12" w:rsidRDefault="00000000" w:rsidP="00161F12">
      <w:pPr>
        <w:spacing w:before="240" w:after="240" w:line="480" w:lineRule="auto"/>
        <w:rPr>
          <w:sz w:val="24"/>
          <w:szCs w:val="24"/>
          <w:highlight w:val="white"/>
        </w:rPr>
      </w:pPr>
      <w:r w:rsidRPr="00161F12">
        <w:rPr>
          <w:sz w:val="24"/>
          <w:szCs w:val="24"/>
          <w:highlight w:val="white"/>
        </w:rPr>
        <w:t>Se calculó para cada paciente la probabilidad de LNI utilizando los siguientes nomogramas:</w:t>
      </w:r>
    </w:p>
    <w:p w14:paraId="37104B7C" w14:textId="0DED20F6" w:rsidR="00F26601" w:rsidRPr="00161F12" w:rsidRDefault="00000000" w:rsidP="00161F12">
      <w:pPr>
        <w:numPr>
          <w:ilvl w:val="0"/>
          <w:numId w:val="1"/>
        </w:numPr>
        <w:spacing w:before="240" w:line="480" w:lineRule="auto"/>
        <w:rPr>
          <w:sz w:val="24"/>
          <w:szCs w:val="24"/>
          <w:highlight w:val="white"/>
        </w:rPr>
      </w:pPr>
      <w:proofErr w:type="spellStart"/>
      <w:r w:rsidRPr="00161F12">
        <w:rPr>
          <w:sz w:val="24"/>
          <w:szCs w:val="24"/>
          <w:highlight w:val="white"/>
        </w:rPr>
        <w:t>Briganti</w:t>
      </w:r>
      <w:proofErr w:type="spellEnd"/>
      <w:r w:rsidRPr="00161F12">
        <w:rPr>
          <w:sz w:val="24"/>
          <w:szCs w:val="24"/>
          <w:highlight w:val="white"/>
        </w:rPr>
        <w:t xml:space="preserve"> 2018: basado en:  PSA preoperatorio (ng/</w:t>
      </w:r>
      <w:proofErr w:type="spellStart"/>
      <w:r w:rsidRPr="00161F12">
        <w:rPr>
          <w:sz w:val="24"/>
          <w:szCs w:val="24"/>
          <w:highlight w:val="white"/>
        </w:rPr>
        <w:t>mL</w:t>
      </w:r>
      <w:proofErr w:type="spellEnd"/>
      <w:r w:rsidRPr="00161F12">
        <w:rPr>
          <w:sz w:val="24"/>
          <w:szCs w:val="24"/>
          <w:highlight w:val="white"/>
        </w:rPr>
        <w:t>),</w:t>
      </w:r>
      <w:r w:rsidR="00B117BF">
        <w:rPr>
          <w:sz w:val="24"/>
          <w:szCs w:val="24"/>
          <w:highlight w:val="white"/>
        </w:rPr>
        <w:t xml:space="preserve"> </w:t>
      </w:r>
      <w:r w:rsidRPr="00161F12">
        <w:rPr>
          <w:sz w:val="24"/>
          <w:szCs w:val="24"/>
          <w:highlight w:val="white"/>
        </w:rPr>
        <w:t xml:space="preserve">Estadio clínico en </w:t>
      </w:r>
      <w:proofErr w:type="spellStart"/>
      <w:r w:rsidRPr="00161F12">
        <w:rPr>
          <w:sz w:val="24"/>
          <w:szCs w:val="24"/>
          <w:highlight w:val="white"/>
        </w:rPr>
        <w:t>mpMRI</w:t>
      </w:r>
      <w:proofErr w:type="spellEnd"/>
      <w:r w:rsidRPr="00161F12">
        <w:rPr>
          <w:sz w:val="24"/>
          <w:szCs w:val="24"/>
          <w:highlight w:val="white"/>
        </w:rPr>
        <w:t xml:space="preserve">, Diámetro máximo de la lesión en </w:t>
      </w:r>
      <w:proofErr w:type="spellStart"/>
      <w:r w:rsidRPr="00161F12">
        <w:rPr>
          <w:sz w:val="24"/>
          <w:szCs w:val="24"/>
          <w:highlight w:val="white"/>
        </w:rPr>
        <w:t>mpMRI</w:t>
      </w:r>
      <w:proofErr w:type="spellEnd"/>
      <w:r w:rsidRPr="00161F12">
        <w:rPr>
          <w:sz w:val="24"/>
          <w:szCs w:val="24"/>
          <w:highlight w:val="white"/>
        </w:rPr>
        <w:t xml:space="preserve"> (mm), </w:t>
      </w:r>
      <w:proofErr w:type="gramStart"/>
      <w:r w:rsidRPr="00161F12">
        <w:rPr>
          <w:sz w:val="24"/>
          <w:szCs w:val="24"/>
          <w:highlight w:val="white"/>
        </w:rPr>
        <w:t>grado  ISUP</w:t>
      </w:r>
      <w:proofErr w:type="gramEnd"/>
      <w:r w:rsidRPr="00161F12">
        <w:rPr>
          <w:sz w:val="24"/>
          <w:szCs w:val="24"/>
          <w:highlight w:val="white"/>
        </w:rPr>
        <w:t xml:space="preserve"> de biopsia dirigida, porcentaje de cilindros positivos en biopsia sistemática</w:t>
      </w:r>
      <w:hyperlink r:id="rId20">
        <w:r w:rsidRPr="00161F12">
          <w:rPr>
            <w:sz w:val="24"/>
            <w:szCs w:val="24"/>
          </w:rPr>
          <w:t>(9)</w:t>
        </w:r>
      </w:hyperlink>
      <w:r w:rsidRPr="00161F12">
        <w:rPr>
          <w:sz w:val="24"/>
          <w:szCs w:val="24"/>
          <w:highlight w:val="white"/>
        </w:rPr>
        <w:t>.</w:t>
      </w:r>
      <w:r w:rsidRPr="00161F12">
        <w:rPr>
          <w:sz w:val="24"/>
          <w:szCs w:val="24"/>
          <w:highlight w:val="white"/>
        </w:rPr>
        <w:br/>
      </w:r>
    </w:p>
    <w:p w14:paraId="072CAAE4" w14:textId="097DFF61" w:rsidR="00F26601" w:rsidRPr="00161F12" w:rsidRDefault="00000000" w:rsidP="00161F12">
      <w:pPr>
        <w:numPr>
          <w:ilvl w:val="0"/>
          <w:numId w:val="1"/>
        </w:numPr>
        <w:spacing w:after="240" w:line="480" w:lineRule="auto"/>
        <w:rPr>
          <w:sz w:val="24"/>
          <w:szCs w:val="24"/>
          <w:highlight w:val="white"/>
        </w:rPr>
      </w:pPr>
      <w:proofErr w:type="spellStart"/>
      <w:r w:rsidRPr="00161F12">
        <w:rPr>
          <w:rFonts w:eastAsia="Arial Unicode MS"/>
          <w:sz w:val="24"/>
          <w:szCs w:val="24"/>
          <w:highlight w:val="white"/>
        </w:rPr>
        <w:t>Amsterdam</w:t>
      </w:r>
      <w:proofErr w:type="spellEnd"/>
      <w:r w:rsidRPr="00161F12">
        <w:rPr>
          <w:rFonts w:eastAsia="Arial Unicode MS"/>
          <w:sz w:val="24"/>
          <w:szCs w:val="24"/>
          <w:highlight w:val="white"/>
        </w:rPr>
        <w:t>–Brisbane–</w:t>
      </w:r>
      <w:proofErr w:type="spellStart"/>
      <w:r w:rsidRPr="00161F12">
        <w:rPr>
          <w:rFonts w:eastAsia="Arial Unicode MS"/>
          <w:sz w:val="24"/>
          <w:szCs w:val="24"/>
          <w:highlight w:val="white"/>
        </w:rPr>
        <w:t>Sydney</w:t>
      </w:r>
      <w:proofErr w:type="spellEnd"/>
      <w:r w:rsidRPr="00161F12">
        <w:rPr>
          <w:rFonts w:eastAsia="Arial Unicode MS"/>
          <w:sz w:val="24"/>
          <w:szCs w:val="24"/>
          <w:highlight w:val="white"/>
        </w:rPr>
        <w:t xml:space="preserve"> (ABS) 2023: PSA preoperatorio (ng/</w:t>
      </w:r>
      <w:proofErr w:type="spellStart"/>
      <w:r w:rsidRPr="00161F12">
        <w:rPr>
          <w:rFonts w:eastAsia="Arial Unicode MS"/>
          <w:sz w:val="24"/>
          <w:szCs w:val="24"/>
          <w:highlight w:val="white"/>
        </w:rPr>
        <w:t>mL</w:t>
      </w:r>
      <w:proofErr w:type="spellEnd"/>
      <w:r w:rsidRPr="00161F12">
        <w:rPr>
          <w:rFonts w:eastAsia="Arial Unicode MS"/>
          <w:sz w:val="24"/>
          <w:szCs w:val="24"/>
          <w:highlight w:val="white"/>
        </w:rPr>
        <w:t xml:space="preserve">), grado ISUP más alto obtenido en las biopsias dirigidas por </w:t>
      </w:r>
      <w:proofErr w:type="spellStart"/>
      <w:r w:rsidRPr="00161F12">
        <w:rPr>
          <w:rFonts w:eastAsia="Arial Unicode MS"/>
          <w:sz w:val="24"/>
          <w:szCs w:val="24"/>
          <w:highlight w:val="white"/>
        </w:rPr>
        <w:t>mpMRI</w:t>
      </w:r>
      <w:proofErr w:type="spellEnd"/>
      <w:r w:rsidRPr="00161F12">
        <w:rPr>
          <w:rFonts w:eastAsia="Arial Unicode MS"/>
          <w:sz w:val="24"/>
          <w:szCs w:val="24"/>
          <w:highlight w:val="white"/>
        </w:rPr>
        <w:t xml:space="preserve">, Número total de cilindros obtenidos en la biopsia prostática sistemática, Número de cilindros de la biopsia sistemática con grupo de grado ISUP ≥2. Estadio T radiológico determinado por </w:t>
      </w:r>
      <w:proofErr w:type="spellStart"/>
      <w:r w:rsidRPr="00161F12">
        <w:rPr>
          <w:rFonts w:eastAsia="Arial Unicode MS"/>
          <w:sz w:val="24"/>
          <w:szCs w:val="24"/>
          <w:highlight w:val="white"/>
        </w:rPr>
        <w:t>mpMRI</w:t>
      </w:r>
      <w:proofErr w:type="spellEnd"/>
      <w:r w:rsidRPr="00161F12">
        <w:rPr>
          <w:rFonts w:eastAsia="Arial Unicode MS"/>
          <w:sz w:val="24"/>
          <w:szCs w:val="24"/>
          <w:highlight w:val="white"/>
        </w:rPr>
        <w:t>, Estado ganglionar evaluado mediante PET PSMA</w:t>
      </w:r>
      <w:hyperlink r:id="rId21">
        <w:r w:rsidRPr="00161F12">
          <w:rPr>
            <w:sz w:val="24"/>
            <w:szCs w:val="24"/>
          </w:rPr>
          <w:t>(13)</w:t>
        </w:r>
      </w:hyperlink>
      <w:r w:rsidRPr="00161F12">
        <w:rPr>
          <w:sz w:val="24"/>
          <w:szCs w:val="24"/>
          <w:highlight w:val="white"/>
        </w:rPr>
        <w:t>.</w:t>
      </w:r>
    </w:p>
    <w:p w14:paraId="57A4B44F" w14:textId="36A24C3F" w:rsidR="00F26601" w:rsidRPr="00161F12" w:rsidRDefault="00000000" w:rsidP="00161F12">
      <w:pPr>
        <w:spacing w:before="240" w:after="240" w:line="480" w:lineRule="auto"/>
        <w:rPr>
          <w:b/>
          <w:color w:val="000000"/>
          <w:sz w:val="24"/>
          <w:szCs w:val="24"/>
          <w:highlight w:val="white"/>
        </w:rPr>
      </w:pPr>
      <w:r w:rsidRPr="00161F12">
        <w:rPr>
          <w:sz w:val="24"/>
          <w:szCs w:val="24"/>
          <w:highlight w:val="white"/>
        </w:rPr>
        <w:t>La probabilidad de LNI se estimó mediante las ecuaciones publicadas en los artículos originales, utilizando las herramientas en línea y las fórmulas validadas por los autores</w:t>
      </w:r>
      <w:hyperlink r:id="rId22">
        <w:r w:rsidRPr="00161F12">
          <w:rPr>
            <w:sz w:val="24"/>
            <w:szCs w:val="24"/>
          </w:rPr>
          <w:t>(9</w:t>
        </w:r>
        <w:r w:rsidR="00B117BF">
          <w:rPr>
            <w:sz w:val="24"/>
            <w:szCs w:val="24"/>
          </w:rPr>
          <w:t>,13</w:t>
        </w:r>
        <w:r w:rsidRPr="00161F12">
          <w:rPr>
            <w:sz w:val="24"/>
            <w:szCs w:val="24"/>
          </w:rPr>
          <w:t>)</w:t>
        </w:r>
      </w:hyperlink>
      <w:r w:rsidRPr="00161F12">
        <w:rPr>
          <w:sz w:val="24"/>
          <w:szCs w:val="24"/>
          <w:highlight w:val="white"/>
        </w:rPr>
        <w:t xml:space="preserve"> . Los resultados se expresaron como porcentaje de riesgo individual de compromiso ganglionar.</w:t>
      </w:r>
    </w:p>
    <w:p w14:paraId="64A61F7A" w14:textId="12D7842E" w:rsidR="00F26601" w:rsidRPr="00161F12" w:rsidRDefault="00000000" w:rsidP="00161F12">
      <w:pPr>
        <w:spacing w:before="240" w:after="240" w:line="480" w:lineRule="auto"/>
        <w:rPr>
          <w:sz w:val="24"/>
          <w:szCs w:val="24"/>
          <w:highlight w:val="white"/>
        </w:rPr>
      </w:pPr>
      <w:r w:rsidRPr="00161F12">
        <w:rPr>
          <w:rFonts w:eastAsia="Arial Unicode MS"/>
          <w:sz w:val="24"/>
          <w:szCs w:val="24"/>
          <w:highlight w:val="white"/>
        </w:rPr>
        <w:lastRenderedPageBreak/>
        <w:t xml:space="preserve">El desempeño discriminativo de ambos modelos se evaluó mediante el área bajo la curva (AUC) ROC con intervalos de confianza de 95 %. Se calculó además la sensibilidad (S), especificidad (E), valor predictivo positivo (VPP), valor predictivo negativo (VPN) e índice de </w:t>
      </w:r>
      <w:proofErr w:type="spellStart"/>
      <w:r w:rsidRPr="00161F12">
        <w:rPr>
          <w:rFonts w:eastAsia="Arial Unicode MS"/>
          <w:sz w:val="24"/>
          <w:szCs w:val="24"/>
          <w:highlight w:val="white"/>
        </w:rPr>
        <w:t>Youden</w:t>
      </w:r>
      <w:proofErr w:type="spellEnd"/>
      <w:r w:rsidRPr="00161F12">
        <w:rPr>
          <w:rFonts w:eastAsia="Arial Unicode MS"/>
          <w:sz w:val="24"/>
          <w:szCs w:val="24"/>
          <w:highlight w:val="white"/>
        </w:rPr>
        <w:t xml:space="preserve"> (J) para los puntos de corte originalmente propuestos (≥7 % para </w:t>
      </w:r>
      <w:proofErr w:type="spellStart"/>
      <w:r w:rsidRPr="00161F12">
        <w:rPr>
          <w:rFonts w:eastAsia="Arial Unicode MS"/>
          <w:sz w:val="24"/>
          <w:szCs w:val="24"/>
          <w:highlight w:val="white"/>
        </w:rPr>
        <w:t>Briganti</w:t>
      </w:r>
      <w:proofErr w:type="spellEnd"/>
      <w:r w:rsidRPr="00161F12">
        <w:rPr>
          <w:rFonts w:eastAsia="Arial Unicode MS"/>
          <w:sz w:val="24"/>
          <w:szCs w:val="24"/>
          <w:highlight w:val="white"/>
        </w:rPr>
        <w:t xml:space="preserve">, ≥10 % para </w:t>
      </w:r>
      <w:proofErr w:type="gramStart"/>
      <w:r w:rsidRPr="00161F12">
        <w:rPr>
          <w:rFonts w:eastAsia="Arial Unicode MS"/>
          <w:sz w:val="24"/>
          <w:szCs w:val="24"/>
          <w:highlight w:val="white"/>
        </w:rPr>
        <w:t>ABS)</w:t>
      </w:r>
      <w:r w:rsidR="00B117BF">
        <w:rPr>
          <w:rFonts w:eastAsia="Arial Unicode MS"/>
          <w:sz w:val="24"/>
          <w:szCs w:val="24"/>
          <w:highlight w:val="white"/>
        </w:rPr>
        <w:t>(</w:t>
      </w:r>
      <w:proofErr w:type="gramEnd"/>
      <w:r w:rsidR="00B117BF">
        <w:rPr>
          <w:rFonts w:eastAsia="Arial Unicode MS"/>
          <w:sz w:val="24"/>
          <w:szCs w:val="24"/>
          <w:highlight w:val="white"/>
        </w:rPr>
        <w:t>9,13)</w:t>
      </w:r>
      <w:r w:rsidRPr="00161F12">
        <w:rPr>
          <w:rFonts w:eastAsia="Arial Unicode MS"/>
          <w:sz w:val="24"/>
          <w:szCs w:val="24"/>
          <w:highlight w:val="white"/>
        </w:rPr>
        <w:t>. Para determinar puntos de corte ajustados a nuestra cohorte, se evaluaron distintos umbrales de riesgo mediante el J, definiendo como óptimo aquel que alcanzó el valor máximo de J. Este punto de corte ajustado se aplicó para reclasificar a los pacientes con indicación de LPE versus aquellos sin indicación, El impacto clínico del nuevo umbral se estimó mediante el número de LPE evitadas y de casos pN1 omitidos para cada modelo</w:t>
      </w:r>
    </w:p>
    <w:p w14:paraId="541270EC" w14:textId="2B3196B5" w:rsidR="00F26601" w:rsidRPr="00161F12" w:rsidRDefault="00000000" w:rsidP="00161F12">
      <w:pPr>
        <w:spacing w:before="240" w:after="240" w:line="480" w:lineRule="auto"/>
        <w:rPr>
          <w:sz w:val="24"/>
          <w:szCs w:val="24"/>
          <w:highlight w:val="white"/>
        </w:rPr>
      </w:pPr>
      <w:r w:rsidRPr="00161F12">
        <w:rPr>
          <w:sz w:val="24"/>
          <w:szCs w:val="24"/>
          <w:highlight w:val="white"/>
        </w:rPr>
        <w:t xml:space="preserve">Los análisis se realizaron </w:t>
      </w:r>
      <w:r w:rsidR="00B117BF">
        <w:rPr>
          <w:sz w:val="24"/>
          <w:szCs w:val="24"/>
          <w:highlight w:val="white"/>
        </w:rPr>
        <w:t xml:space="preserve">utilizando el software </w:t>
      </w:r>
      <w:r w:rsidRPr="00161F12">
        <w:rPr>
          <w:sz w:val="24"/>
          <w:szCs w:val="24"/>
          <w:highlight w:val="white"/>
        </w:rPr>
        <w:t xml:space="preserve">IBM SPSS </w:t>
      </w:r>
      <w:proofErr w:type="spellStart"/>
      <w:r w:rsidRPr="00161F12">
        <w:rPr>
          <w:sz w:val="24"/>
          <w:szCs w:val="24"/>
          <w:highlight w:val="white"/>
        </w:rPr>
        <w:t>Statistics</w:t>
      </w:r>
      <w:proofErr w:type="spellEnd"/>
      <w:r w:rsidRPr="00161F12">
        <w:rPr>
          <w:sz w:val="24"/>
          <w:szCs w:val="24"/>
          <w:highlight w:val="white"/>
        </w:rPr>
        <w:t xml:space="preserve"> v27 (IBM Corp., </w:t>
      </w:r>
      <w:proofErr w:type="spellStart"/>
      <w:r w:rsidRPr="00161F12">
        <w:rPr>
          <w:sz w:val="24"/>
          <w:szCs w:val="24"/>
          <w:highlight w:val="white"/>
        </w:rPr>
        <w:t>Armonk</w:t>
      </w:r>
      <w:proofErr w:type="spellEnd"/>
      <w:r w:rsidRPr="00161F12">
        <w:rPr>
          <w:sz w:val="24"/>
          <w:szCs w:val="24"/>
          <w:highlight w:val="white"/>
        </w:rPr>
        <w:t xml:space="preserve">, NY, </w:t>
      </w:r>
      <w:proofErr w:type="gramStart"/>
      <w:r w:rsidRPr="00161F12">
        <w:rPr>
          <w:sz w:val="24"/>
          <w:szCs w:val="24"/>
          <w:highlight w:val="white"/>
        </w:rPr>
        <w:t>EE.UU.</w:t>
      </w:r>
      <w:proofErr w:type="gramEnd"/>
      <w:r w:rsidRPr="00161F12">
        <w:rPr>
          <w:sz w:val="24"/>
          <w:szCs w:val="24"/>
          <w:highlight w:val="white"/>
        </w:rPr>
        <w:t xml:space="preserve">)  Se consideró significativo un valor </w:t>
      </w:r>
      <w:r w:rsidRPr="00161F12">
        <w:rPr>
          <w:i/>
          <w:sz w:val="24"/>
          <w:szCs w:val="24"/>
          <w:highlight w:val="white"/>
        </w:rPr>
        <w:t>p</w:t>
      </w:r>
      <w:r w:rsidRPr="00161F12">
        <w:rPr>
          <w:sz w:val="24"/>
          <w:szCs w:val="24"/>
          <w:highlight w:val="white"/>
        </w:rPr>
        <w:t xml:space="preserve"> &lt; 0,05.</w:t>
      </w:r>
    </w:p>
    <w:p w14:paraId="6282F343" w14:textId="77777777" w:rsidR="00F26601" w:rsidRPr="00161F12" w:rsidRDefault="00F26601" w:rsidP="00161F12">
      <w:pPr>
        <w:pStyle w:val="Ttulo3"/>
        <w:keepNext w:val="0"/>
        <w:keepLines w:val="0"/>
        <w:spacing w:before="280" w:line="480" w:lineRule="auto"/>
        <w:rPr>
          <w:b/>
          <w:color w:val="000000"/>
          <w:sz w:val="24"/>
          <w:szCs w:val="24"/>
          <w:highlight w:val="white"/>
        </w:rPr>
      </w:pPr>
      <w:bookmarkStart w:id="2" w:name="_vjyb36x797xj" w:colFirst="0" w:colLast="0"/>
      <w:bookmarkEnd w:id="2"/>
    </w:p>
    <w:p w14:paraId="54BB2FE6" w14:textId="77777777" w:rsidR="00F26601" w:rsidRPr="00161F12" w:rsidRDefault="00000000" w:rsidP="00161F12">
      <w:pPr>
        <w:spacing w:before="240" w:after="240" w:line="480" w:lineRule="auto"/>
        <w:rPr>
          <w:sz w:val="24"/>
          <w:szCs w:val="24"/>
          <w:highlight w:val="white"/>
        </w:rPr>
      </w:pPr>
      <w:r w:rsidRPr="00161F12">
        <w:rPr>
          <w:sz w:val="24"/>
          <w:szCs w:val="24"/>
          <w:highlight w:val="white"/>
        </w:rPr>
        <w:t xml:space="preserve">El estudio fue aprobado por el Comité Ético Científico de la Clínica Alemana de Santiago. Todos los datos se analizaron de forma anónima y no se incluyeron identificadores personales. </w:t>
      </w:r>
    </w:p>
    <w:p w14:paraId="2C296D3D" w14:textId="77777777" w:rsidR="00F26601" w:rsidRPr="00161F12" w:rsidRDefault="00F26601" w:rsidP="00161F12">
      <w:pPr>
        <w:spacing w:before="240" w:after="240" w:line="480" w:lineRule="auto"/>
        <w:rPr>
          <w:sz w:val="24"/>
          <w:szCs w:val="24"/>
          <w:highlight w:val="white"/>
        </w:rPr>
      </w:pPr>
    </w:p>
    <w:p w14:paraId="4C50791A" w14:textId="77777777" w:rsidR="00F26601" w:rsidRPr="00B117BF" w:rsidRDefault="00000000" w:rsidP="00161F12">
      <w:pPr>
        <w:spacing w:before="240" w:after="240" w:line="480" w:lineRule="auto"/>
        <w:rPr>
          <w:b/>
          <w:bCs/>
          <w:sz w:val="24"/>
          <w:szCs w:val="24"/>
          <w:highlight w:val="white"/>
        </w:rPr>
      </w:pPr>
      <w:r w:rsidRPr="00B117BF">
        <w:rPr>
          <w:b/>
          <w:bCs/>
          <w:sz w:val="24"/>
          <w:szCs w:val="24"/>
          <w:highlight w:val="white"/>
        </w:rPr>
        <w:t>Resultados</w:t>
      </w:r>
    </w:p>
    <w:p w14:paraId="4642C046" w14:textId="3388E7B7" w:rsidR="00F26601" w:rsidRPr="00161F12" w:rsidRDefault="00000000" w:rsidP="00161F12">
      <w:pPr>
        <w:spacing w:before="240" w:after="240" w:line="480" w:lineRule="auto"/>
        <w:rPr>
          <w:color w:val="000000"/>
          <w:sz w:val="24"/>
          <w:szCs w:val="24"/>
          <w:highlight w:val="white"/>
        </w:rPr>
      </w:pPr>
      <w:r w:rsidRPr="00161F12">
        <w:rPr>
          <w:sz w:val="24"/>
          <w:szCs w:val="24"/>
          <w:highlight w:val="white"/>
        </w:rPr>
        <w:t>Durante el período de estudio se identificaron 195 pacientes que cumplían con los criterios de inclusión. La edad media fue de 66 años (DE: 7,2) y el PSA preoperatorio medio de 8,4 ng/</w:t>
      </w:r>
      <w:proofErr w:type="spellStart"/>
      <w:r w:rsidRPr="00161F12">
        <w:rPr>
          <w:sz w:val="24"/>
          <w:szCs w:val="24"/>
          <w:highlight w:val="white"/>
        </w:rPr>
        <w:t>mL</w:t>
      </w:r>
      <w:proofErr w:type="spellEnd"/>
      <w:r w:rsidRPr="00161F12">
        <w:rPr>
          <w:sz w:val="24"/>
          <w:szCs w:val="24"/>
          <w:highlight w:val="white"/>
        </w:rPr>
        <w:t xml:space="preserve"> (RIC: 5,8–11,7). La distribución por grado histológico (ISUP) fue: grado 1 en 12 pacientes (6,2%), grado 2 en 58 (29,7%), grado 3 en 63 (32,3%), grado 4 en 34 (17,4%) y grado 5 en 28 (14,4%). el PET-</w:t>
      </w:r>
      <w:r w:rsidRPr="00161F12">
        <w:rPr>
          <w:sz w:val="24"/>
          <w:szCs w:val="24"/>
          <w:highlight w:val="white"/>
        </w:rPr>
        <w:lastRenderedPageBreak/>
        <w:t>PSMA mostró miN1 en 24 (12,3%)</w:t>
      </w:r>
      <w:r w:rsidR="00B117BF">
        <w:rPr>
          <w:sz w:val="24"/>
          <w:szCs w:val="24"/>
          <w:highlight w:val="white"/>
        </w:rPr>
        <w:t xml:space="preserve"> pacientes.</w:t>
      </w:r>
      <w:r w:rsidRPr="00161F12">
        <w:rPr>
          <w:sz w:val="24"/>
          <w:szCs w:val="24"/>
          <w:highlight w:val="white"/>
        </w:rPr>
        <w:t xml:space="preserve"> </w:t>
      </w:r>
      <w:r w:rsidRPr="00161F12">
        <w:rPr>
          <w:sz w:val="24"/>
          <w:szCs w:val="24"/>
          <w:highlight w:val="white"/>
        </w:rPr>
        <w:br/>
        <w:t xml:space="preserve">  55</w:t>
      </w:r>
      <w:r w:rsidR="00B117BF">
        <w:rPr>
          <w:sz w:val="24"/>
          <w:szCs w:val="24"/>
          <w:highlight w:val="white"/>
        </w:rPr>
        <w:t xml:space="preserve"> </w:t>
      </w:r>
      <w:r w:rsidR="00B117BF" w:rsidRPr="00161F12">
        <w:rPr>
          <w:sz w:val="24"/>
          <w:szCs w:val="24"/>
          <w:highlight w:val="white"/>
        </w:rPr>
        <w:t>(28,2%)</w:t>
      </w:r>
      <w:r w:rsidRPr="00161F12">
        <w:rPr>
          <w:sz w:val="24"/>
          <w:szCs w:val="24"/>
          <w:highlight w:val="white"/>
        </w:rPr>
        <w:t xml:space="preserve"> pacientes</w:t>
      </w:r>
      <w:r w:rsidR="00B117BF">
        <w:rPr>
          <w:sz w:val="24"/>
          <w:szCs w:val="24"/>
          <w:highlight w:val="white"/>
        </w:rPr>
        <w:t xml:space="preserve"> mostraron ser pN1 en el estudio histológico. </w:t>
      </w:r>
      <w:r w:rsidRPr="00161F12">
        <w:rPr>
          <w:sz w:val="24"/>
          <w:szCs w:val="24"/>
          <w:highlight w:val="white"/>
        </w:rPr>
        <w:t xml:space="preserve"> El número promedio de linfonodos extraídos fue de 19,6 (DE: 8,1), con un promedio de 1,1 </w:t>
      </w:r>
      <w:proofErr w:type="spellStart"/>
      <w:r w:rsidRPr="00161F12">
        <w:rPr>
          <w:sz w:val="24"/>
          <w:szCs w:val="24"/>
          <w:highlight w:val="white"/>
        </w:rPr>
        <w:t>linfonodos</w:t>
      </w:r>
      <w:proofErr w:type="spellEnd"/>
      <w:r w:rsidRPr="00161F12">
        <w:rPr>
          <w:sz w:val="24"/>
          <w:szCs w:val="24"/>
          <w:highlight w:val="white"/>
        </w:rPr>
        <w:t xml:space="preserve"> metastásicos por paciente pN1 (Tabla 1)</w:t>
      </w:r>
      <w:r w:rsidRPr="00161F12">
        <w:rPr>
          <w:color w:val="000000"/>
          <w:sz w:val="24"/>
          <w:szCs w:val="24"/>
          <w:highlight w:val="white"/>
        </w:rPr>
        <w:t xml:space="preserve">. </w:t>
      </w:r>
      <w:r w:rsidRPr="00161F12">
        <w:rPr>
          <w:sz w:val="24"/>
          <w:szCs w:val="24"/>
          <w:highlight w:val="white"/>
        </w:rPr>
        <w:t>La tabla</w:t>
      </w:r>
      <w:r w:rsidRPr="00161F12">
        <w:rPr>
          <w:color w:val="000000"/>
          <w:sz w:val="24"/>
          <w:szCs w:val="24"/>
          <w:highlight w:val="white"/>
        </w:rPr>
        <w:t xml:space="preserve"> 1 resume las principales </w:t>
      </w:r>
      <w:r w:rsidRPr="00161F12">
        <w:rPr>
          <w:sz w:val="24"/>
          <w:szCs w:val="24"/>
          <w:highlight w:val="white"/>
        </w:rPr>
        <w:t>características</w:t>
      </w:r>
      <w:r w:rsidRPr="00161F12">
        <w:rPr>
          <w:color w:val="000000"/>
          <w:sz w:val="24"/>
          <w:szCs w:val="24"/>
          <w:highlight w:val="white"/>
        </w:rPr>
        <w:t xml:space="preserve"> </w:t>
      </w:r>
      <w:r w:rsidR="00B117BF">
        <w:rPr>
          <w:color w:val="000000"/>
          <w:sz w:val="24"/>
          <w:szCs w:val="24"/>
          <w:highlight w:val="white"/>
        </w:rPr>
        <w:t xml:space="preserve">clínicas, imagenológicas y patológicas </w:t>
      </w:r>
      <w:r w:rsidRPr="00161F12">
        <w:rPr>
          <w:color w:val="000000"/>
          <w:sz w:val="24"/>
          <w:szCs w:val="24"/>
          <w:highlight w:val="white"/>
        </w:rPr>
        <w:t>de la cohorte.</w:t>
      </w:r>
    </w:p>
    <w:p w14:paraId="09D71181" w14:textId="274ABDA2" w:rsidR="00F26601" w:rsidRPr="00161F12" w:rsidRDefault="00000000" w:rsidP="00161F12">
      <w:pPr>
        <w:spacing w:before="240" w:after="240" w:line="480" w:lineRule="auto"/>
        <w:rPr>
          <w:sz w:val="24"/>
          <w:szCs w:val="24"/>
          <w:highlight w:val="white"/>
        </w:rPr>
      </w:pPr>
      <w:r w:rsidRPr="00161F12">
        <w:rPr>
          <w:sz w:val="24"/>
          <w:szCs w:val="24"/>
          <w:highlight w:val="white"/>
        </w:rPr>
        <w:t xml:space="preserve">El AUC para la predicción de LNI utilizando los puntos de corte establecidos por la literatura fue de 0,73 para el modelo </w:t>
      </w:r>
      <w:proofErr w:type="spellStart"/>
      <w:r w:rsidRPr="00161F12">
        <w:rPr>
          <w:sz w:val="24"/>
          <w:szCs w:val="24"/>
          <w:highlight w:val="white"/>
        </w:rPr>
        <w:t>Briganti</w:t>
      </w:r>
      <w:proofErr w:type="spellEnd"/>
      <w:r w:rsidRPr="00161F12">
        <w:rPr>
          <w:sz w:val="24"/>
          <w:szCs w:val="24"/>
          <w:highlight w:val="white"/>
        </w:rPr>
        <w:t xml:space="preserve"> 2018 y de 0,76 para ABS, sin diferencias estadísticamente significativas entre ambos (p = 0,31). Ambos nomogramas demostraron una adecuada calibración, con una leve tendencia a sobreestimar el riesgo en los deciles superiores del rango predictivo (</w:t>
      </w:r>
      <w:proofErr w:type="spellStart"/>
      <w:r w:rsidRPr="00161F12">
        <w:rPr>
          <w:sz w:val="24"/>
          <w:szCs w:val="24"/>
          <w:highlight w:val="white"/>
        </w:rPr>
        <w:t>Fig</w:t>
      </w:r>
      <w:proofErr w:type="spellEnd"/>
      <w:r w:rsidRPr="00161F12">
        <w:rPr>
          <w:sz w:val="24"/>
          <w:szCs w:val="24"/>
          <w:highlight w:val="white"/>
        </w:rPr>
        <w:t xml:space="preserve"> 1)</w:t>
      </w:r>
      <w:r w:rsidR="00B117BF">
        <w:rPr>
          <w:sz w:val="24"/>
          <w:szCs w:val="24"/>
          <w:highlight w:val="white"/>
        </w:rPr>
        <w:t>.</w:t>
      </w:r>
    </w:p>
    <w:p w14:paraId="1AC72DB3" w14:textId="0221D1E8" w:rsidR="00F26601" w:rsidRPr="00161F12" w:rsidRDefault="00000000" w:rsidP="00161F12">
      <w:pPr>
        <w:spacing w:before="240" w:after="240" w:line="480" w:lineRule="auto"/>
        <w:rPr>
          <w:sz w:val="24"/>
          <w:szCs w:val="24"/>
          <w:highlight w:val="white"/>
        </w:rPr>
      </w:pPr>
      <w:r w:rsidRPr="00161F12">
        <w:rPr>
          <w:sz w:val="24"/>
          <w:szCs w:val="24"/>
          <w:highlight w:val="white"/>
        </w:rPr>
        <w:t xml:space="preserve">Al aplicar los puntos de corte originales establecidos por la literatura, ambos nomogramas demostraron alta capacidad para descartar compromiso ganglionar, pero con baja especificidad. </w:t>
      </w:r>
      <w:proofErr w:type="spellStart"/>
      <w:r w:rsidRPr="00161F12">
        <w:rPr>
          <w:sz w:val="24"/>
          <w:szCs w:val="24"/>
          <w:highlight w:val="white"/>
        </w:rPr>
        <w:t>Briganti</w:t>
      </w:r>
      <w:proofErr w:type="spellEnd"/>
      <w:r w:rsidRPr="00161F12">
        <w:rPr>
          <w:sz w:val="24"/>
          <w:szCs w:val="24"/>
          <w:highlight w:val="white"/>
        </w:rPr>
        <w:t xml:space="preserve"> 2018 presentó una sensibilidad de 94,5 %, especificidad de 20 %, valor predictivo positivo (VPP) de 26,8 %, valor predictivo negativo (VPN) de 91,7 % </w:t>
      </w:r>
      <w:r w:rsidR="009D3B46">
        <w:rPr>
          <w:sz w:val="24"/>
          <w:szCs w:val="24"/>
          <w:highlight w:val="white"/>
        </w:rPr>
        <w:t xml:space="preserve">y (J) </w:t>
      </w:r>
      <w:r w:rsidRPr="00161F12">
        <w:rPr>
          <w:sz w:val="24"/>
          <w:szCs w:val="24"/>
          <w:highlight w:val="white"/>
        </w:rPr>
        <w:t xml:space="preserve">de 0,14. En el caso del nomograma ABS, la sensibilidad fue de 98,2 %, especificidad de 9,3 %, VPP de 22,9 %, VPN de 92,9 % </w:t>
      </w:r>
      <w:r w:rsidR="009D3B46">
        <w:rPr>
          <w:sz w:val="24"/>
          <w:szCs w:val="24"/>
          <w:highlight w:val="white"/>
        </w:rPr>
        <w:t>y (J)</w:t>
      </w:r>
      <w:r w:rsidRPr="00161F12">
        <w:rPr>
          <w:sz w:val="24"/>
          <w:szCs w:val="24"/>
          <w:highlight w:val="white"/>
        </w:rPr>
        <w:t>de 0,08.</w:t>
      </w:r>
    </w:p>
    <w:p w14:paraId="6630E977" w14:textId="7EAB7FBD" w:rsidR="00F26601" w:rsidRPr="00161F12" w:rsidRDefault="00000000" w:rsidP="00161F12">
      <w:pPr>
        <w:spacing w:before="240" w:after="240" w:line="480" w:lineRule="auto"/>
        <w:rPr>
          <w:sz w:val="24"/>
          <w:szCs w:val="24"/>
          <w:highlight w:val="white"/>
        </w:rPr>
      </w:pPr>
      <w:r w:rsidRPr="00161F12">
        <w:rPr>
          <w:sz w:val="24"/>
          <w:szCs w:val="24"/>
          <w:highlight w:val="white"/>
        </w:rPr>
        <w:t xml:space="preserve">Con el ajuste de los puntos de corte mediante el </w:t>
      </w:r>
      <w:r w:rsidR="009D3B46">
        <w:rPr>
          <w:sz w:val="24"/>
          <w:szCs w:val="24"/>
          <w:highlight w:val="white"/>
        </w:rPr>
        <w:t>(J)</w:t>
      </w:r>
      <w:r w:rsidRPr="00161F12">
        <w:rPr>
          <w:sz w:val="24"/>
          <w:szCs w:val="24"/>
          <w:highlight w:val="white"/>
        </w:rPr>
        <w:t xml:space="preserve">, se observó una mejora sustancial en el equilibrio entre sensibilidad y especificidad. Para el modelo </w:t>
      </w:r>
      <w:proofErr w:type="spellStart"/>
      <w:r w:rsidRPr="00161F12">
        <w:rPr>
          <w:sz w:val="24"/>
          <w:szCs w:val="24"/>
          <w:highlight w:val="white"/>
        </w:rPr>
        <w:t>Briganti</w:t>
      </w:r>
      <w:proofErr w:type="spellEnd"/>
      <w:r w:rsidRPr="00161F12">
        <w:rPr>
          <w:sz w:val="24"/>
          <w:szCs w:val="24"/>
          <w:highlight w:val="white"/>
        </w:rPr>
        <w:t xml:space="preserve"> 2018, el umbral óptimo se estableció en 8,3 %, con una sensibilidad de 91 % y especificidad de 36,4 %. Este ajuste permitiría evitar el 15 % de las linfadenectomías pélvicas extendidas (LPE) —equivalente a 25 pacientes— a costa de omitir 2 casos con compromiso ganglionar (3,8 %).</w:t>
      </w:r>
    </w:p>
    <w:p w14:paraId="7D797855" w14:textId="77777777" w:rsidR="00F26601" w:rsidRPr="00161F12" w:rsidRDefault="00000000" w:rsidP="00161F12">
      <w:pPr>
        <w:spacing w:before="240" w:after="240" w:line="480" w:lineRule="auto"/>
        <w:rPr>
          <w:sz w:val="24"/>
          <w:szCs w:val="24"/>
          <w:highlight w:val="white"/>
        </w:rPr>
      </w:pPr>
      <w:r w:rsidRPr="00161F12">
        <w:rPr>
          <w:sz w:val="24"/>
          <w:szCs w:val="24"/>
          <w:highlight w:val="white"/>
        </w:rPr>
        <w:lastRenderedPageBreak/>
        <w:t>En el nomograma ABS, el punto de corte óptimo correspondió a 23,9 %, con una sensibilidad de 89,1 % y especificidad de 47,9 %, lo que permitiría reducir el 32,6 % de las LPE (59 pacientes), omitiendo 5 casos pN1 (9,3 %) (</w:t>
      </w:r>
      <w:r w:rsidRPr="00161F12">
        <w:rPr>
          <w:sz w:val="24"/>
          <w:szCs w:val="24"/>
          <w:highlight w:val="white"/>
        </w:rPr>
        <w:tab/>
        <w:t>Tabla 2.-).</w:t>
      </w:r>
    </w:p>
    <w:p w14:paraId="73E4F274" w14:textId="1B28B81E" w:rsidR="00F26601" w:rsidRPr="00161F12" w:rsidRDefault="00000000" w:rsidP="00161F12">
      <w:pPr>
        <w:pStyle w:val="Ttulo2"/>
        <w:keepNext w:val="0"/>
        <w:keepLines w:val="0"/>
        <w:spacing w:after="80" w:line="480" w:lineRule="auto"/>
        <w:rPr>
          <w:sz w:val="24"/>
          <w:szCs w:val="24"/>
          <w:highlight w:val="white"/>
        </w:rPr>
      </w:pPr>
      <w:bookmarkStart w:id="3" w:name="_z2x8uvre1uga" w:colFirst="0" w:colLast="0"/>
      <w:bookmarkStart w:id="4" w:name="_yr1ou6mq4jy0" w:colFirst="0" w:colLast="0"/>
      <w:bookmarkEnd w:id="3"/>
      <w:bookmarkEnd w:id="4"/>
      <w:r w:rsidRPr="00161F12">
        <w:rPr>
          <w:sz w:val="24"/>
          <w:szCs w:val="24"/>
          <w:highlight w:val="white"/>
        </w:rPr>
        <w:t>Discusión</w:t>
      </w:r>
    </w:p>
    <w:p w14:paraId="3136539D" w14:textId="151D89CF" w:rsidR="00F26601" w:rsidRPr="00161F12" w:rsidRDefault="00000000" w:rsidP="00161F12">
      <w:pPr>
        <w:spacing w:before="240" w:after="240" w:line="480" w:lineRule="auto"/>
        <w:rPr>
          <w:sz w:val="24"/>
          <w:szCs w:val="24"/>
          <w:highlight w:val="white"/>
        </w:rPr>
      </w:pPr>
      <w:r w:rsidRPr="00161F12">
        <w:rPr>
          <w:sz w:val="24"/>
          <w:szCs w:val="24"/>
          <w:highlight w:val="white"/>
        </w:rPr>
        <w:t xml:space="preserve">El presente estudio constituye la primera validación externa nacional del nomograma ABS, comparando su desempeño con el modelo Briganti 2018 en una cohorte contemporánea de pacientes sometidos a PRR y LPE. Nuestros resultados confirman que ambos modelos presentan una adecuada capacidad discriminativa (AUC 0,73 para </w:t>
      </w:r>
      <w:proofErr w:type="spellStart"/>
      <w:r w:rsidRPr="00161F12">
        <w:rPr>
          <w:sz w:val="24"/>
          <w:szCs w:val="24"/>
          <w:highlight w:val="white"/>
        </w:rPr>
        <w:t>Briganti</w:t>
      </w:r>
      <w:proofErr w:type="spellEnd"/>
      <w:r w:rsidRPr="00161F12">
        <w:rPr>
          <w:sz w:val="24"/>
          <w:szCs w:val="24"/>
          <w:highlight w:val="white"/>
        </w:rPr>
        <w:t xml:space="preserve"> y 0,76 para ABS), concordante con lo reportado en las series internacionales de validación</w:t>
      </w:r>
      <w:hyperlink r:id="rId23">
        <w:r w:rsidRPr="00161F12">
          <w:rPr>
            <w:sz w:val="24"/>
            <w:szCs w:val="24"/>
          </w:rPr>
          <w:t>(14–16)</w:t>
        </w:r>
      </w:hyperlink>
      <w:r w:rsidRPr="00161F12">
        <w:rPr>
          <w:sz w:val="24"/>
          <w:szCs w:val="24"/>
          <w:highlight w:val="white"/>
        </w:rPr>
        <w:t xml:space="preserve"> . Esta consistencia refuerza la solidez metodológica del ABS y su aplicabilidad más allá de las poblaciones europeas y australianas en las cuales fue originalmente desarrollado</w:t>
      </w:r>
      <w:hyperlink r:id="rId24">
        <w:r w:rsidRPr="00161F12">
          <w:rPr>
            <w:sz w:val="24"/>
            <w:szCs w:val="24"/>
          </w:rPr>
          <w:t>(13)</w:t>
        </w:r>
      </w:hyperlink>
      <w:r w:rsidRPr="00161F12">
        <w:rPr>
          <w:sz w:val="24"/>
          <w:szCs w:val="24"/>
          <w:highlight w:val="white"/>
        </w:rPr>
        <w:t xml:space="preserve">, sin embargo al comparar el rendimiento entre ambos nomogramas no evidenciamos diferencias significativas en nuestra población que otorguen ventaja a la </w:t>
      </w:r>
      <w:r w:rsidR="00B117BF" w:rsidRPr="00161F12">
        <w:rPr>
          <w:sz w:val="24"/>
          <w:szCs w:val="24"/>
          <w:highlight w:val="white"/>
        </w:rPr>
        <w:t>integración</w:t>
      </w:r>
      <w:r w:rsidRPr="00161F12">
        <w:rPr>
          <w:sz w:val="24"/>
          <w:szCs w:val="24"/>
          <w:highlight w:val="white"/>
        </w:rPr>
        <w:t xml:space="preserve"> de nomogramas basados en PET PSMA</w:t>
      </w:r>
      <w:r w:rsidR="00B117BF">
        <w:rPr>
          <w:sz w:val="24"/>
          <w:szCs w:val="24"/>
          <w:highlight w:val="white"/>
        </w:rPr>
        <w:t xml:space="preserve"> como si había sido reportado en la literatura (13,14)</w:t>
      </w:r>
      <w:r w:rsidRPr="00161F12">
        <w:rPr>
          <w:sz w:val="24"/>
          <w:szCs w:val="24"/>
          <w:highlight w:val="white"/>
        </w:rPr>
        <w:t xml:space="preserve">, esto puede ser explicado por la baja presencia de pacientes </w:t>
      </w:r>
      <w:r w:rsidR="00B117BF">
        <w:rPr>
          <w:sz w:val="24"/>
          <w:szCs w:val="24"/>
          <w:highlight w:val="white"/>
        </w:rPr>
        <w:t>miN1</w:t>
      </w:r>
      <w:r w:rsidRPr="00161F12">
        <w:rPr>
          <w:sz w:val="24"/>
          <w:szCs w:val="24"/>
          <w:highlight w:val="white"/>
        </w:rPr>
        <w:t xml:space="preserve"> en </w:t>
      </w:r>
      <w:r w:rsidR="00B117BF">
        <w:rPr>
          <w:sz w:val="24"/>
          <w:szCs w:val="24"/>
          <w:highlight w:val="white"/>
        </w:rPr>
        <w:t xml:space="preserve">PET PSMA </w:t>
      </w:r>
      <w:r w:rsidRPr="00161F12">
        <w:rPr>
          <w:sz w:val="24"/>
          <w:szCs w:val="24"/>
          <w:highlight w:val="white"/>
        </w:rPr>
        <w:t>en nuestra cohorte, ya que en la actualidad la mayoría de estos paciente no se someten a cirugía</w:t>
      </w:r>
      <w:r w:rsidR="00B117BF">
        <w:rPr>
          <w:sz w:val="24"/>
          <w:szCs w:val="24"/>
          <w:highlight w:val="white"/>
        </w:rPr>
        <w:t>. S</w:t>
      </w:r>
      <w:r w:rsidRPr="00161F12">
        <w:rPr>
          <w:sz w:val="24"/>
          <w:szCs w:val="24"/>
          <w:highlight w:val="white"/>
        </w:rPr>
        <w:t xml:space="preserve">in embargo es importante recalcar que si bien el PET PSMA se ha establecido como el </w:t>
      </w:r>
      <w:proofErr w:type="spellStart"/>
      <w:r w:rsidRPr="00161F12">
        <w:rPr>
          <w:sz w:val="24"/>
          <w:szCs w:val="24"/>
          <w:highlight w:val="white"/>
        </w:rPr>
        <w:t>gold</w:t>
      </w:r>
      <w:proofErr w:type="spellEnd"/>
      <w:r w:rsidRPr="00161F12">
        <w:rPr>
          <w:sz w:val="24"/>
          <w:szCs w:val="24"/>
          <w:highlight w:val="white"/>
        </w:rPr>
        <w:t xml:space="preserve"> estándar</w:t>
      </w:r>
      <w:r w:rsidR="00B117BF">
        <w:rPr>
          <w:sz w:val="24"/>
          <w:szCs w:val="24"/>
          <w:highlight w:val="white"/>
        </w:rPr>
        <w:t xml:space="preserve"> para </w:t>
      </w:r>
      <w:proofErr w:type="spellStart"/>
      <w:r w:rsidR="00B117BF">
        <w:rPr>
          <w:sz w:val="24"/>
          <w:szCs w:val="24"/>
          <w:highlight w:val="white"/>
        </w:rPr>
        <w:t>estaficacion</w:t>
      </w:r>
      <w:proofErr w:type="spellEnd"/>
      <w:r w:rsidR="00B117BF">
        <w:rPr>
          <w:sz w:val="24"/>
          <w:szCs w:val="24"/>
          <w:highlight w:val="white"/>
        </w:rPr>
        <w:t xml:space="preserve"> preoperatoria(1,6)</w:t>
      </w:r>
      <w:r w:rsidRPr="00161F12">
        <w:rPr>
          <w:sz w:val="24"/>
          <w:szCs w:val="24"/>
          <w:highlight w:val="white"/>
        </w:rPr>
        <w:t xml:space="preserve">, </w:t>
      </w:r>
      <w:r w:rsidR="00B117BF">
        <w:rPr>
          <w:sz w:val="24"/>
          <w:szCs w:val="24"/>
          <w:highlight w:val="white"/>
        </w:rPr>
        <w:t xml:space="preserve">este </w:t>
      </w:r>
      <w:r w:rsidRPr="00161F12">
        <w:rPr>
          <w:sz w:val="24"/>
          <w:szCs w:val="24"/>
          <w:highlight w:val="white"/>
        </w:rPr>
        <w:t xml:space="preserve">tiene limitaciones </w:t>
      </w:r>
      <w:r w:rsidR="00B117BF" w:rsidRPr="00161F12">
        <w:rPr>
          <w:sz w:val="24"/>
          <w:szCs w:val="24"/>
          <w:highlight w:val="white"/>
        </w:rPr>
        <w:t>sobre todo</w:t>
      </w:r>
      <w:r w:rsidRPr="00161F12">
        <w:rPr>
          <w:sz w:val="24"/>
          <w:szCs w:val="24"/>
          <w:highlight w:val="white"/>
        </w:rPr>
        <w:t xml:space="preserve"> en enfermedad </w:t>
      </w:r>
      <w:proofErr w:type="spellStart"/>
      <w:r w:rsidRPr="00161F12">
        <w:rPr>
          <w:sz w:val="24"/>
          <w:szCs w:val="24"/>
          <w:highlight w:val="white"/>
        </w:rPr>
        <w:t>micrometastásica</w:t>
      </w:r>
      <w:proofErr w:type="spellEnd"/>
      <w:r w:rsidRPr="00161F12">
        <w:rPr>
          <w:sz w:val="24"/>
          <w:szCs w:val="24"/>
          <w:highlight w:val="white"/>
        </w:rPr>
        <w:t xml:space="preserve">, </w:t>
      </w:r>
      <w:proofErr w:type="spellStart"/>
      <w:r w:rsidRPr="00161F12">
        <w:rPr>
          <w:sz w:val="24"/>
          <w:szCs w:val="24"/>
          <w:highlight w:val="white"/>
        </w:rPr>
        <w:t>linfonodos</w:t>
      </w:r>
      <w:proofErr w:type="spellEnd"/>
      <w:r w:rsidRPr="00161F12">
        <w:rPr>
          <w:sz w:val="24"/>
          <w:szCs w:val="24"/>
          <w:highlight w:val="white"/>
        </w:rPr>
        <w:t xml:space="preserve">  pequeños y lesiones poco </w:t>
      </w:r>
      <w:r w:rsidR="00B117BF" w:rsidRPr="00161F12">
        <w:rPr>
          <w:sz w:val="24"/>
          <w:szCs w:val="24"/>
          <w:highlight w:val="white"/>
        </w:rPr>
        <w:t>ávidas</w:t>
      </w:r>
      <w:r w:rsidRPr="00161F12">
        <w:rPr>
          <w:sz w:val="24"/>
          <w:szCs w:val="24"/>
          <w:highlight w:val="white"/>
        </w:rPr>
        <w:t xml:space="preserve"> por el PSMA</w:t>
      </w:r>
      <w:hyperlink r:id="rId25">
        <w:r w:rsidRPr="00161F12">
          <w:rPr>
            <w:sz w:val="24"/>
            <w:szCs w:val="24"/>
          </w:rPr>
          <w:t>(12)</w:t>
        </w:r>
      </w:hyperlink>
      <w:r w:rsidRPr="00161F12">
        <w:rPr>
          <w:sz w:val="24"/>
          <w:szCs w:val="24"/>
          <w:highlight w:val="white"/>
        </w:rPr>
        <w:t xml:space="preserve"> en esta </w:t>
      </w:r>
      <w:proofErr w:type="spellStart"/>
      <w:r w:rsidRPr="00161F12">
        <w:rPr>
          <w:sz w:val="24"/>
          <w:szCs w:val="24"/>
          <w:highlight w:val="white"/>
        </w:rPr>
        <w:t>linea</w:t>
      </w:r>
      <w:proofErr w:type="spellEnd"/>
      <w:r w:rsidRPr="00161F12">
        <w:rPr>
          <w:sz w:val="24"/>
          <w:szCs w:val="24"/>
          <w:highlight w:val="white"/>
        </w:rPr>
        <w:t xml:space="preserve"> </w:t>
      </w:r>
      <w:proofErr w:type="spellStart"/>
      <w:r w:rsidRPr="00161F12">
        <w:rPr>
          <w:sz w:val="24"/>
          <w:szCs w:val="24"/>
          <w:highlight w:val="white"/>
        </w:rPr>
        <w:t>Ingvar</w:t>
      </w:r>
      <w:proofErr w:type="spellEnd"/>
      <w:r w:rsidRPr="00161F12">
        <w:rPr>
          <w:sz w:val="24"/>
          <w:szCs w:val="24"/>
          <w:highlight w:val="white"/>
        </w:rPr>
        <w:t xml:space="preserve"> y colaboradores evaluaron el rendimiento de PET PSMA en </w:t>
      </w:r>
      <w:r w:rsidR="00B117BF" w:rsidRPr="00161F12">
        <w:rPr>
          <w:sz w:val="24"/>
          <w:szCs w:val="24"/>
          <w:highlight w:val="white"/>
        </w:rPr>
        <w:t>etapificación</w:t>
      </w:r>
      <w:r w:rsidRPr="00161F12">
        <w:rPr>
          <w:sz w:val="24"/>
          <w:szCs w:val="24"/>
          <w:highlight w:val="white"/>
        </w:rPr>
        <w:t xml:space="preserve"> ganglionar </w:t>
      </w:r>
      <w:r w:rsidR="00B117BF">
        <w:rPr>
          <w:sz w:val="24"/>
          <w:szCs w:val="24"/>
          <w:highlight w:val="white"/>
        </w:rPr>
        <w:t xml:space="preserve">en </w:t>
      </w:r>
      <w:r w:rsidRPr="00161F12">
        <w:rPr>
          <w:sz w:val="24"/>
          <w:szCs w:val="24"/>
          <w:highlight w:val="white"/>
        </w:rPr>
        <w:t xml:space="preserve">pacientes con </w:t>
      </w:r>
      <w:r w:rsidR="00B117BF">
        <w:rPr>
          <w:sz w:val="24"/>
          <w:szCs w:val="24"/>
          <w:highlight w:val="white"/>
        </w:rPr>
        <w:t>CaP</w:t>
      </w:r>
      <w:r w:rsidRPr="00161F12">
        <w:rPr>
          <w:sz w:val="24"/>
          <w:szCs w:val="24"/>
          <w:highlight w:val="white"/>
        </w:rPr>
        <w:t xml:space="preserve"> de riesgo intermedio y alto sometidos a PRR, demostrado una alta especificidad del examen  rondando al 96% pero con una sensibilidad para </w:t>
      </w:r>
      <w:r w:rsidRPr="00161F12">
        <w:rPr>
          <w:sz w:val="24"/>
          <w:szCs w:val="24"/>
          <w:highlight w:val="white"/>
        </w:rPr>
        <w:lastRenderedPageBreak/>
        <w:t>pN1 global de solo un 26% y para pN1 &gt; a 3 mm de un 56%</w:t>
      </w:r>
      <w:hyperlink r:id="rId26">
        <w:r w:rsidRPr="00161F12">
          <w:rPr>
            <w:sz w:val="24"/>
            <w:szCs w:val="24"/>
          </w:rPr>
          <w:t>(18)</w:t>
        </w:r>
      </w:hyperlink>
      <w:r w:rsidRPr="00161F12">
        <w:rPr>
          <w:sz w:val="24"/>
          <w:szCs w:val="24"/>
          <w:highlight w:val="white"/>
        </w:rPr>
        <w:t xml:space="preserve">, </w:t>
      </w:r>
      <w:r w:rsidR="00B117BF" w:rsidRPr="00161F12">
        <w:rPr>
          <w:sz w:val="24"/>
          <w:szCs w:val="24"/>
          <w:highlight w:val="white"/>
        </w:rPr>
        <w:t>además</w:t>
      </w:r>
      <w:r w:rsidRPr="00161F12">
        <w:rPr>
          <w:sz w:val="24"/>
          <w:szCs w:val="24"/>
          <w:highlight w:val="white"/>
        </w:rPr>
        <w:t xml:space="preserve"> se ha</w:t>
      </w:r>
      <w:r w:rsidR="00B117BF">
        <w:rPr>
          <w:sz w:val="24"/>
          <w:szCs w:val="24"/>
          <w:highlight w:val="white"/>
        </w:rPr>
        <w:t xml:space="preserve"> descrito </w:t>
      </w:r>
      <w:r w:rsidRPr="00161F12">
        <w:rPr>
          <w:sz w:val="24"/>
          <w:szCs w:val="24"/>
          <w:highlight w:val="white"/>
        </w:rPr>
        <w:t xml:space="preserve"> una amplia variabilidad en el VPP del PET-PSMA</w:t>
      </w:r>
      <w:r w:rsidR="00B117BF">
        <w:rPr>
          <w:sz w:val="24"/>
          <w:szCs w:val="24"/>
          <w:highlight w:val="white"/>
        </w:rPr>
        <w:t xml:space="preserve">, </w:t>
      </w:r>
      <w:r w:rsidRPr="00161F12">
        <w:rPr>
          <w:sz w:val="24"/>
          <w:szCs w:val="24"/>
          <w:highlight w:val="white"/>
        </w:rPr>
        <w:t xml:space="preserve"> </w:t>
      </w:r>
      <w:r w:rsidR="00B117BF">
        <w:rPr>
          <w:sz w:val="24"/>
          <w:szCs w:val="24"/>
          <w:highlight w:val="white"/>
        </w:rPr>
        <w:t>reportando valores que van de</w:t>
      </w:r>
      <w:r w:rsidRPr="00161F12">
        <w:rPr>
          <w:sz w:val="24"/>
          <w:szCs w:val="24"/>
          <w:highlight w:val="white"/>
        </w:rPr>
        <w:t xml:space="preserve">  </w:t>
      </w:r>
      <w:r w:rsidR="00B117BF">
        <w:rPr>
          <w:sz w:val="24"/>
          <w:szCs w:val="24"/>
          <w:highlight w:val="white"/>
        </w:rPr>
        <w:t>56-88</w:t>
      </w:r>
      <w:r w:rsidRPr="00161F12">
        <w:rPr>
          <w:sz w:val="24"/>
          <w:szCs w:val="24"/>
          <w:highlight w:val="white"/>
        </w:rPr>
        <w:t>%</w:t>
      </w:r>
      <w:r w:rsidR="00B117BF">
        <w:rPr>
          <w:sz w:val="24"/>
          <w:szCs w:val="24"/>
          <w:highlight w:val="white"/>
        </w:rPr>
        <w:t>(19)</w:t>
      </w:r>
      <w:r w:rsidRPr="00161F12">
        <w:rPr>
          <w:sz w:val="24"/>
          <w:szCs w:val="24"/>
          <w:highlight w:val="white"/>
        </w:rPr>
        <w:t xml:space="preserve">, en esta </w:t>
      </w:r>
      <w:proofErr w:type="spellStart"/>
      <w:r w:rsidRPr="00161F12">
        <w:rPr>
          <w:sz w:val="24"/>
          <w:szCs w:val="24"/>
          <w:highlight w:val="white"/>
        </w:rPr>
        <w:t>linea</w:t>
      </w:r>
      <w:proofErr w:type="spellEnd"/>
      <w:r w:rsidRPr="00161F12">
        <w:rPr>
          <w:sz w:val="24"/>
          <w:szCs w:val="24"/>
          <w:highlight w:val="white"/>
        </w:rPr>
        <w:t xml:space="preserve"> </w:t>
      </w:r>
      <w:proofErr w:type="spellStart"/>
      <w:r w:rsidRPr="00161F12">
        <w:rPr>
          <w:sz w:val="24"/>
          <w:szCs w:val="24"/>
          <w:highlight w:val="white"/>
        </w:rPr>
        <w:t>Barletta</w:t>
      </w:r>
      <w:proofErr w:type="spellEnd"/>
      <w:r w:rsidRPr="00161F12">
        <w:rPr>
          <w:sz w:val="24"/>
          <w:szCs w:val="24"/>
          <w:highlight w:val="white"/>
        </w:rPr>
        <w:t xml:space="preserve"> y col analizaron los resultados </w:t>
      </w:r>
      <w:r w:rsidR="00B117BF" w:rsidRPr="00161F12">
        <w:rPr>
          <w:sz w:val="24"/>
          <w:szCs w:val="24"/>
          <w:highlight w:val="white"/>
        </w:rPr>
        <w:t>patológicos</w:t>
      </w:r>
      <w:r w:rsidRPr="00161F12">
        <w:rPr>
          <w:sz w:val="24"/>
          <w:szCs w:val="24"/>
          <w:highlight w:val="white"/>
        </w:rPr>
        <w:t xml:space="preserve"> de  182 pacientes descritos como </w:t>
      </w:r>
      <w:r w:rsidR="00B117BF">
        <w:rPr>
          <w:sz w:val="24"/>
          <w:szCs w:val="24"/>
          <w:highlight w:val="white"/>
        </w:rPr>
        <w:t>miN1</w:t>
      </w:r>
      <w:r w:rsidRPr="00161F12">
        <w:rPr>
          <w:sz w:val="24"/>
          <w:szCs w:val="24"/>
          <w:highlight w:val="white"/>
        </w:rPr>
        <w:t xml:space="preserve"> al PET-PSMA previo a la PRR +LPE, de estos  un 48% resulto ser pN0</w:t>
      </w:r>
      <w:hyperlink r:id="rId27">
        <w:r w:rsidRPr="00161F12">
          <w:rPr>
            <w:sz w:val="24"/>
            <w:szCs w:val="24"/>
          </w:rPr>
          <w:t>(</w:t>
        </w:r>
        <w:r w:rsidR="00B117BF">
          <w:rPr>
            <w:sz w:val="24"/>
            <w:szCs w:val="24"/>
          </w:rPr>
          <w:t>20</w:t>
        </w:r>
        <w:r w:rsidRPr="00161F12">
          <w:rPr>
            <w:sz w:val="24"/>
            <w:szCs w:val="24"/>
          </w:rPr>
          <w:t>)</w:t>
        </w:r>
      </w:hyperlink>
      <w:r w:rsidRPr="00161F12">
        <w:rPr>
          <w:sz w:val="24"/>
          <w:szCs w:val="24"/>
          <w:highlight w:val="white"/>
        </w:rPr>
        <w:t xml:space="preserve">, esto refuerza la necesidad de basarse en herramientas que </w:t>
      </w:r>
      <w:r w:rsidR="00B117BF" w:rsidRPr="00161F12">
        <w:rPr>
          <w:sz w:val="24"/>
          <w:szCs w:val="24"/>
          <w:highlight w:val="white"/>
        </w:rPr>
        <w:t>evalúen</w:t>
      </w:r>
      <w:r w:rsidRPr="00161F12">
        <w:rPr>
          <w:sz w:val="24"/>
          <w:szCs w:val="24"/>
          <w:highlight w:val="white"/>
        </w:rPr>
        <w:t xml:space="preserve"> globalmente el riesgo de compromiso </w:t>
      </w:r>
      <w:proofErr w:type="spellStart"/>
      <w:r w:rsidRPr="00161F12">
        <w:rPr>
          <w:sz w:val="24"/>
          <w:szCs w:val="24"/>
          <w:highlight w:val="white"/>
        </w:rPr>
        <w:t>linfonodal</w:t>
      </w:r>
      <w:proofErr w:type="spellEnd"/>
      <w:r w:rsidRPr="00161F12">
        <w:rPr>
          <w:sz w:val="24"/>
          <w:szCs w:val="24"/>
          <w:highlight w:val="white"/>
        </w:rPr>
        <w:t xml:space="preserve"> de nuestros pacientes como nomogramas</w:t>
      </w:r>
      <w:r w:rsidR="00B117BF">
        <w:rPr>
          <w:sz w:val="24"/>
          <w:szCs w:val="24"/>
          <w:highlight w:val="white"/>
        </w:rPr>
        <w:t xml:space="preserve"> que utilizan múltiples variables</w:t>
      </w:r>
      <w:r w:rsidRPr="00161F12">
        <w:rPr>
          <w:sz w:val="24"/>
          <w:szCs w:val="24"/>
          <w:highlight w:val="white"/>
        </w:rPr>
        <w:t xml:space="preserve"> y no utilizar el PET-PSMA como una bala de plata en la toma de decisiones. En este escenario, los nomogramas multimodales como el ABS adquieren un valor estratégico, ya que integran las limitaciones del PET PSMA con variables clínicas (PSA, ISUP, estadio clínico, </w:t>
      </w:r>
      <w:proofErr w:type="spellStart"/>
      <w:r w:rsidRPr="00161F12">
        <w:rPr>
          <w:sz w:val="24"/>
          <w:szCs w:val="24"/>
          <w:highlight w:val="white"/>
        </w:rPr>
        <w:t>mpMRI</w:t>
      </w:r>
      <w:proofErr w:type="spellEnd"/>
      <w:r w:rsidRPr="00161F12">
        <w:rPr>
          <w:sz w:val="24"/>
          <w:szCs w:val="24"/>
          <w:highlight w:val="white"/>
        </w:rPr>
        <w:t>), generando una predicción más balanceada y robusta del riesgo ganglionar. Tal enfoque complementario permite optimizar la indicación de LPE, maximizando la sensibilidad diagnóstica y minimizando procedimientos innecesarios.</w:t>
      </w:r>
    </w:p>
    <w:p w14:paraId="0C327119" w14:textId="08CF4640" w:rsidR="00F26601" w:rsidRPr="00161F12" w:rsidRDefault="00000000" w:rsidP="00161F12">
      <w:pPr>
        <w:spacing w:before="240" w:after="240" w:line="480" w:lineRule="auto"/>
        <w:rPr>
          <w:sz w:val="24"/>
          <w:szCs w:val="24"/>
          <w:highlight w:val="white"/>
        </w:rPr>
      </w:pPr>
      <w:r w:rsidRPr="00161F12">
        <w:rPr>
          <w:sz w:val="24"/>
          <w:szCs w:val="24"/>
          <w:highlight w:val="white"/>
        </w:rPr>
        <w:t xml:space="preserve">En particular, el nomograma ABS, que integra hallazgos clínicos, histológicos y de imagen molecular mediante PET PSMA, demostró un rendimiento comparable al observado por Vis et al. (AUC 0,81) y Van Bergen et al. (AUC 0,75–0,81) </w:t>
      </w:r>
      <w:hyperlink r:id="rId28">
        <w:r w:rsidRPr="00161F12">
          <w:rPr>
            <w:sz w:val="24"/>
            <w:szCs w:val="24"/>
          </w:rPr>
          <w:t>(13)</w:t>
        </w:r>
      </w:hyperlink>
      <w:r w:rsidRPr="00161F12">
        <w:rPr>
          <w:sz w:val="24"/>
          <w:szCs w:val="24"/>
          <w:highlight w:val="white"/>
        </w:rPr>
        <w:t xml:space="preserve">. La calibración adecuada observada en nuestra cohorte —con una leve sobreestimación del riesgo en los deciles superiores— también se alinea con los hallazgos de </w:t>
      </w:r>
      <w:proofErr w:type="spellStart"/>
      <w:r w:rsidRPr="00161F12">
        <w:rPr>
          <w:sz w:val="24"/>
          <w:szCs w:val="24"/>
          <w:highlight w:val="white"/>
        </w:rPr>
        <w:t>Sordelli</w:t>
      </w:r>
      <w:proofErr w:type="spellEnd"/>
      <w:r w:rsidRPr="00161F12">
        <w:rPr>
          <w:sz w:val="24"/>
          <w:szCs w:val="24"/>
          <w:highlight w:val="white"/>
        </w:rPr>
        <w:t xml:space="preserve"> et al., quienes destacaron la robustez del modelo en diferentes contextos clínicos (9). En este sentido, los resultados nacionales validan externamente la utilidad del ABS como herramienta reproducible en la práctica clínica chilena</w:t>
      </w:r>
      <w:r w:rsidR="00B117BF">
        <w:rPr>
          <w:sz w:val="24"/>
          <w:szCs w:val="24"/>
          <w:highlight w:val="white"/>
        </w:rPr>
        <w:t xml:space="preserve">, sin </w:t>
      </w:r>
      <w:proofErr w:type="gramStart"/>
      <w:r w:rsidR="00B117BF">
        <w:rPr>
          <w:sz w:val="24"/>
          <w:szCs w:val="24"/>
          <w:highlight w:val="white"/>
        </w:rPr>
        <w:t>embargo</w:t>
      </w:r>
      <w:proofErr w:type="gramEnd"/>
      <w:r w:rsidR="00B117BF">
        <w:rPr>
          <w:sz w:val="24"/>
          <w:szCs w:val="24"/>
          <w:highlight w:val="white"/>
        </w:rPr>
        <w:t xml:space="preserve"> no evidenciamos las ventajas previamente </w:t>
      </w:r>
      <w:proofErr w:type="spellStart"/>
      <w:r w:rsidR="00B117BF">
        <w:rPr>
          <w:sz w:val="24"/>
          <w:szCs w:val="24"/>
          <w:highlight w:val="white"/>
        </w:rPr>
        <w:t>reporadas</w:t>
      </w:r>
      <w:proofErr w:type="spellEnd"/>
      <w:r w:rsidR="00B117BF">
        <w:rPr>
          <w:sz w:val="24"/>
          <w:szCs w:val="24"/>
          <w:highlight w:val="white"/>
        </w:rPr>
        <w:t xml:space="preserve"> por sobre el nomograma de </w:t>
      </w:r>
      <w:proofErr w:type="spellStart"/>
      <w:proofErr w:type="gramStart"/>
      <w:r w:rsidR="00B117BF">
        <w:rPr>
          <w:sz w:val="24"/>
          <w:szCs w:val="24"/>
          <w:highlight w:val="white"/>
        </w:rPr>
        <w:t>BrigantI</w:t>
      </w:r>
      <w:proofErr w:type="spellEnd"/>
      <w:r w:rsidR="00B117BF">
        <w:rPr>
          <w:sz w:val="24"/>
          <w:szCs w:val="24"/>
          <w:highlight w:val="white"/>
        </w:rPr>
        <w:t>(</w:t>
      </w:r>
      <w:proofErr w:type="gramEnd"/>
      <w:r w:rsidR="00B117BF">
        <w:rPr>
          <w:sz w:val="24"/>
          <w:szCs w:val="24"/>
          <w:highlight w:val="white"/>
        </w:rPr>
        <w:t>13,14)</w:t>
      </w:r>
    </w:p>
    <w:p w14:paraId="0629955E" w14:textId="6B671C1E" w:rsidR="00F26601" w:rsidRPr="00161F12" w:rsidRDefault="00B117BF" w:rsidP="00161F12">
      <w:pPr>
        <w:spacing w:before="240" w:after="240" w:line="480" w:lineRule="auto"/>
        <w:rPr>
          <w:sz w:val="24"/>
          <w:szCs w:val="24"/>
          <w:highlight w:val="white"/>
        </w:rPr>
      </w:pPr>
      <w:r w:rsidRPr="00B117BF">
        <w:rPr>
          <w:sz w:val="24"/>
          <w:szCs w:val="24"/>
          <w:highlight w:val="white"/>
        </w:rPr>
        <w:lastRenderedPageBreak/>
        <w:t xml:space="preserve">El nomograma </w:t>
      </w:r>
      <w:proofErr w:type="spellStart"/>
      <w:r w:rsidRPr="00B117BF">
        <w:rPr>
          <w:sz w:val="24"/>
          <w:szCs w:val="24"/>
          <w:highlight w:val="white"/>
        </w:rPr>
        <w:t>Briganti</w:t>
      </w:r>
      <w:proofErr w:type="spellEnd"/>
      <w:r w:rsidRPr="00B117BF">
        <w:rPr>
          <w:sz w:val="24"/>
          <w:szCs w:val="24"/>
          <w:highlight w:val="white"/>
        </w:rPr>
        <w:t xml:space="preserve"> 2018 mostró un rendimiento consistente con lo previamente reportado por nuestro grupo (AUC 0,80; VPN 91,7 %) (17), lo que reafirma su utilidad como herramienta de estratificación preoperatoria, incluso en escenarios donde el PET-PSMA no está disponible de forma rutinaria, como ocurre en gran parte del sistema público chileno. La consistencia de su desempeño en múltiples cohortes respalda su rol como modelo de referencia para la comparación con estrategias emergentes que integran imágenes moleculares</w:t>
      </w:r>
      <w:r w:rsidR="00000000" w:rsidRPr="00161F12">
        <w:rPr>
          <w:sz w:val="24"/>
          <w:szCs w:val="24"/>
          <w:highlight w:val="white"/>
        </w:rPr>
        <w:t>.</w:t>
      </w:r>
    </w:p>
    <w:p w14:paraId="0453DCFE" w14:textId="61448DBC" w:rsidR="00F26601" w:rsidRPr="00161F12" w:rsidRDefault="00000000" w:rsidP="00161F12">
      <w:pPr>
        <w:spacing w:before="240" w:after="240" w:line="480" w:lineRule="auto"/>
        <w:rPr>
          <w:sz w:val="24"/>
          <w:szCs w:val="24"/>
          <w:highlight w:val="white"/>
        </w:rPr>
      </w:pPr>
      <w:r w:rsidRPr="00161F12">
        <w:rPr>
          <w:sz w:val="24"/>
          <w:szCs w:val="24"/>
          <w:highlight w:val="white"/>
        </w:rPr>
        <w:t xml:space="preserve">La aplicabilidad local de los nomogramas depende de la prevalencia de compromiso ganglionar y de las características propias de la población estudiada. En nuestra cohorte, la tasa de </w:t>
      </w:r>
      <w:r w:rsidR="00E21BA5">
        <w:rPr>
          <w:sz w:val="24"/>
          <w:szCs w:val="24"/>
          <w:highlight w:val="white"/>
        </w:rPr>
        <w:t>c</w:t>
      </w:r>
      <w:r w:rsidRPr="00161F12">
        <w:rPr>
          <w:sz w:val="24"/>
          <w:szCs w:val="24"/>
          <w:highlight w:val="white"/>
        </w:rPr>
        <w:t>N1 (12 %) fue similar a la de las series internacionales (10–14 %), lo que favorece la reproducibilidad del modelo (7,9). No obstante, pequeñas diferencias en distribución de riesgo, acceso a PET PSMA y estrategias quirúrgicas podrían justificar ajustes de puntos de corte adaptados al contexto chileno.</w:t>
      </w:r>
    </w:p>
    <w:p w14:paraId="77409C65" w14:textId="66420E0F" w:rsidR="00F26601" w:rsidRPr="00161F12" w:rsidRDefault="00E21BA5" w:rsidP="00161F12">
      <w:pPr>
        <w:spacing w:before="240" w:after="240" w:line="480" w:lineRule="auto"/>
        <w:rPr>
          <w:sz w:val="24"/>
          <w:szCs w:val="24"/>
          <w:highlight w:val="white"/>
        </w:rPr>
      </w:pPr>
      <w:r w:rsidRPr="00E21BA5">
        <w:rPr>
          <w:sz w:val="24"/>
          <w:szCs w:val="24"/>
          <w:highlight w:val="white"/>
        </w:rPr>
        <w:t xml:space="preserve">El ajuste de los puntos de corte mediante el </w:t>
      </w:r>
      <w:r w:rsidR="009D3B46">
        <w:rPr>
          <w:sz w:val="24"/>
          <w:szCs w:val="24"/>
          <w:highlight w:val="white"/>
        </w:rPr>
        <w:t>(J)</w:t>
      </w:r>
      <w:r w:rsidRPr="00E21BA5">
        <w:rPr>
          <w:sz w:val="24"/>
          <w:szCs w:val="24"/>
          <w:highlight w:val="white"/>
        </w:rPr>
        <w:t xml:space="preserve"> permitió identificar umbrales óptimos para nuestra población, logrando un equilibrio más adecuado entre sensibilidad y especificidad. En el nomograma ABS, un punto de corte de 23,9 % permitió reducir en un 32,6 % el número de linfadenectomías pélvicas extendidas (LPE), con una omisión aceptable del 9,3 % de casos pN1. Para el modelo </w:t>
      </w:r>
      <w:proofErr w:type="spellStart"/>
      <w:r w:rsidRPr="00E21BA5">
        <w:rPr>
          <w:sz w:val="24"/>
          <w:szCs w:val="24"/>
          <w:highlight w:val="white"/>
        </w:rPr>
        <w:t>Briganti</w:t>
      </w:r>
      <w:proofErr w:type="spellEnd"/>
      <w:r w:rsidRPr="00E21BA5">
        <w:rPr>
          <w:sz w:val="24"/>
          <w:szCs w:val="24"/>
          <w:highlight w:val="white"/>
        </w:rPr>
        <w:t xml:space="preserve"> 2018, un umbral ajustado de 8,3 % evitó un 15 % de LPE, con una pérdida mínima de sensibilidad (3,8 %). Estos hallazgos demuestran que la optimización local de los umbrales puede racionalizar el uso de la LPE, manteniendo la seguridad oncológica y disminuyendo la morbilidad, los tiempos quirúrgicos y los costos hospitalarios. Asimismo, subrayan la relevancia de analizar continuamente los resultados de nuestras propias cohortes para generar evidencia local que oriente la toma de </w:t>
      </w:r>
      <w:r w:rsidRPr="00E21BA5">
        <w:rPr>
          <w:sz w:val="24"/>
          <w:szCs w:val="24"/>
          <w:highlight w:val="white"/>
        </w:rPr>
        <w:lastRenderedPageBreak/>
        <w:t>decisiones clínicas. No obstante, para validar y aplicar estos umbrales de forma generalizada en la práctica nacional, es necesario replicar estos resultados en estudios multicéntricos que permitan ajustar los modelos a la población chilena de manera robusta y representativa.</w:t>
      </w:r>
    </w:p>
    <w:p w14:paraId="04BCCBD3" w14:textId="1F5B5991" w:rsidR="00F26601" w:rsidRPr="00161F12" w:rsidRDefault="00000000" w:rsidP="00161F12">
      <w:pPr>
        <w:spacing w:before="240" w:after="240" w:line="480" w:lineRule="auto"/>
        <w:rPr>
          <w:sz w:val="24"/>
          <w:szCs w:val="24"/>
          <w:highlight w:val="white"/>
        </w:rPr>
      </w:pPr>
      <w:r w:rsidRPr="00161F12">
        <w:rPr>
          <w:sz w:val="24"/>
          <w:szCs w:val="24"/>
          <w:highlight w:val="white"/>
        </w:rPr>
        <w:t xml:space="preserve">Este trabajo presenta algunas limitaciones inherentes a su diseño retrospectivo y </w:t>
      </w:r>
      <w:proofErr w:type="spellStart"/>
      <w:r w:rsidRPr="00161F12">
        <w:rPr>
          <w:sz w:val="24"/>
          <w:szCs w:val="24"/>
          <w:highlight w:val="white"/>
        </w:rPr>
        <w:t>unicéntrico</w:t>
      </w:r>
      <w:proofErr w:type="spellEnd"/>
      <w:r w:rsidRPr="00161F12">
        <w:rPr>
          <w:sz w:val="24"/>
          <w:szCs w:val="24"/>
          <w:highlight w:val="white"/>
        </w:rPr>
        <w:t xml:space="preserve">. Aunque los datos fueron obtenidos de una base prospectiva validada, no se dispuso de revisión centralizada de las imágenes de PET PSMA ni de la anatomía patológica, lo que podría introducir sesgos de interpretación. La cohorte analizada, si bien representativa de un centro de alta complejidad, podría no reflejar completamente la heterogeneidad del sistema de salud nacional. Además, el número absoluto de pacientes </w:t>
      </w:r>
      <w:r w:rsidR="00B117BF">
        <w:rPr>
          <w:sz w:val="24"/>
          <w:szCs w:val="24"/>
          <w:highlight w:val="white"/>
        </w:rPr>
        <w:t>miN1</w:t>
      </w:r>
      <w:r w:rsidRPr="00161F12">
        <w:rPr>
          <w:sz w:val="24"/>
          <w:szCs w:val="24"/>
          <w:highlight w:val="white"/>
        </w:rPr>
        <w:t xml:space="preserve"> (12 %) limita la potencia para detectar diferencias sutiles entre modelos.</w:t>
      </w:r>
    </w:p>
    <w:p w14:paraId="59E41E2A" w14:textId="503300BD" w:rsidR="00F26601" w:rsidRPr="00161F12" w:rsidRDefault="00000000" w:rsidP="00161F12">
      <w:pPr>
        <w:spacing w:before="240" w:after="240" w:line="480" w:lineRule="auto"/>
        <w:rPr>
          <w:sz w:val="24"/>
          <w:szCs w:val="24"/>
          <w:highlight w:val="white"/>
        </w:rPr>
      </w:pPr>
      <w:r w:rsidRPr="00161F12">
        <w:rPr>
          <w:sz w:val="24"/>
          <w:szCs w:val="24"/>
          <w:highlight w:val="white"/>
        </w:rPr>
        <w:t>Finalmente, aunque el ABS incorpora el PET PSMA, no todos los estudios fueron realizados con el mismo radiotrazador ni equipo de adquisición, lo cual puede afectar la sensibilidad diagnóstica</w:t>
      </w:r>
      <w:hyperlink r:id="rId29">
        <w:r w:rsidRPr="00161F12">
          <w:rPr>
            <w:sz w:val="24"/>
            <w:szCs w:val="24"/>
          </w:rPr>
          <w:t>(2</w:t>
        </w:r>
        <w:r w:rsidR="00B117BF">
          <w:rPr>
            <w:sz w:val="24"/>
            <w:szCs w:val="24"/>
          </w:rPr>
          <w:t>1</w:t>
        </w:r>
        <w:r w:rsidRPr="00161F12">
          <w:rPr>
            <w:sz w:val="24"/>
            <w:szCs w:val="24"/>
          </w:rPr>
          <w:t>)</w:t>
        </w:r>
      </w:hyperlink>
      <w:r w:rsidRPr="00161F12">
        <w:rPr>
          <w:sz w:val="24"/>
          <w:szCs w:val="24"/>
          <w:highlight w:val="white"/>
        </w:rPr>
        <w:t>. Aun así, los resultados reproducen de manera consistente las tendencias observadas en validaciones internacionales, fortaleciendo la conclusión de que el ABS es una herramienta confiable y adaptable al contexto nacional.</w:t>
      </w:r>
    </w:p>
    <w:p w14:paraId="1F661A29" w14:textId="7E20542E" w:rsidR="00F26601" w:rsidRPr="00B117BF" w:rsidRDefault="00B117BF" w:rsidP="00161F12">
      <w:pPr>
        <w:pStyle w:val="Ttulo3"/>
        <w:keepNext w:val="0"/>
        <w:keepLines w:val="0"/>
        <w:spacing w:before="280" w:line="480" w:lineRule="auto"/>
        <w:rPr>
          <w:b/>
          <w:bCs/>
          <w:color w:val="000000"/>
          <w:sz w:val="24"/>
          <w:szCs w:val="24"/>
          <w:highlight w:val="white"/>
        </w:rPr>
      </w:pPr>
      <w:bookmarkStart w:id="5" w:name="_9rddnlydxhmy" w:colFirst="0" w:colLast="0"/>
      <w:bookmarkEnd w:id="5"/>
      <w:r w:rsidRPr="00B117BF">
        <w:rPr>
          <w:b/>
          <w:bCs/>
          <w:color w:val="000000"/>
          <w:sz w:val="24"/>
          <w:szCs w:val="24"/>
          <w:highlight w:val="white"/>
        </w:rPr>
        <w:t>Conclusiones</w:t>
      </w:r>
    </w:p>
    <w:p w14:paraId="2B0655C3" w14:textId="77777777" w:rsidR="00F26601" w:rsidRPr="00161F12" w:rsidRDefault="00000000" w:rsidP="00161F12">
      <w:pPr>
        <w:spacing w:before="240" w:after="240" w:line="480" w:lineRule="auto"/>
        <w:rPr>
          <w:sz w:val="24"/>
          <w:szCs w:val="24"/>
          <w:highlight w:val="white"/>
        </w:rPr>
      </w:pPr>
      <w:r w:rsidRPr="00161F12">
        <w:rPr>
          <w:sz w:val="24"/>
          <w:szCs w:val="24"/>
          <w:highlight w:val="white"/>
        </w:rPr>
        <w:t xml:space="preserve">Los hallazgos de este estudio respaldan la utilidad clínica de integrar modelos predictivos basados en múltiples variables para guiar la indicación de LPE, particularmente en escenarios donde la decisión quirúrgica no puede basarse exclusivamente en la imagen molecular. La combinación de herramientas como </w:t>
      </w:r>
      <w:proofErr w:type="spellStart"/>
      <w:r w:rsidRPr="00161F12">
        <w:rPr>
          <w:sz w:val="24"/>
          <w:szCs w:val="24"/>
          <w:highlight w:val="white"/>
        </w:rPr>
        <w:lastRenderedPageBreak/>
        <w:t>Briganti</w:t>
      </w:r>
      <w:proofErr w:type="spellEnd"/>
      <w:r w:rsidRPr="00161F12">
        <w:rPr>
          <w:sz w:val="24"/>
          <w:szCs w:val="24"/>
          <w:highlight w:val="white"/>
        </w:rPr>
        <w:t xml:space="preserve"> 2018 y ABS permite una estratificación más precisa y personalizada del riesgo LNI contribuyendo a una cirugía más racional, menos mórbida y costo-efectiva.</w:t>
      </w:r>
    </w:p>
    <w:p w14:paraId="2D14DC87" w14:textId="77777777" w:rsidR="00F26601" w:rsidRPr="00161F12" w:rsidRDefault="00000000" w:rsidP="00161F12">
      <w:pPr>
        <w:spacing w:before="240" w:after="240" w:line="480" w:lineRule="auto"/>
        <w:rPr>
          <w:sz w:val="24"/>
          <w:szCs w:val="24"/>
          <w:highlight w:val="white"/>
        </w:rPr>
      </w:pPr>
      <w:r w:rsidRPr="00161F12">
        <w:rPr>
          <w:sz w:val="24"/>
          <w:szCs w:val="24"/>
          <w:highlight w:val="white"/>
        </w:rPr>
        <w:t>Futuros estudios multicéntricos nacionales podrían validar estos resultados en cohortes más amplias, incorporar análisis prospectivos y evaluar el impacto de estas estrategias sobre desenlaces oncológicos a largo plazo.</w:t>
      </w:r>
    </w:p>
    <w:p w14:paraId="145CF3D9" w14:textId="56F632EA" w:rsidR="00F26601" w:rsidRPr="00161F12" w:rsidRDefault="00000000" w:rsidP="00161F12">
      <w:pPr>
        <w:spacing w:before="240" w:after="240" w:line="480" w:lineRule="auto"/>
        <w:rPr>
          <w:sz w:val="24"/>
          <w:szCs w:val="24"/>
          <w:highlight w:val="white"/>
        </w:rPr>
      </w:pPr>
      <w:r w:rsidRPr="00161F12">
        <w:rPr>
          <w:sz w:val="24"/>
          <w:szCs w:val="24"/>
          <w:highlight w:val="white"/>
        </w:rPr>
        <w:t xml:space="preserve">En conjunto, la evidencia obtenida demuestra que los nomogramas ABS y </w:t>
      </w:r>
      <w:proofErr w:type="spellStart"/>
      <w:r w:rsidRPr="00161F12">
        <w:rPr>
          <w:sz w:val="24"/>
          <w:szCs w:val="24"/>
          <w:highlight w:val="white"/>
        </w:rPr>
        <w:t>Briganti</w:t>
      </w:r>
      <w:proofErr w:type="spellEnd"/>
      <w:r w:rsidRPr="00161F12">
        <w:rPr>
          <w:sz w:val="24"/>
          <w:szCs w:val="24"/>
          <w:highlight w:val="white"/>
        </w:rPr>
        <w:t xml:space="preserve"> 2018 son herramientas válidas y complementarias en la toma de decisiones quirúrgicas, y que su ajuste local mediante métodos objetivos como </w:t>
      </w:r>
      <w:proofErr w:type="spellStart"/>
      <w:r w:rsidRPr="00161F12">
        <w:rPr>
          <w:sz w:val="24"/>
          <w:szCs w:val="24"/>
          <w:highlight w:val="white"/>
        </w:rPr>
        <w:t>el</w:t>
      </w:r>
      <w:proofErr w:type="spellEnd"/>
      <w:r w:rsidRPr="00161F12">
        <w:rPr>
          <w:sz w:val="24"/>
          <w:szCs w:val="24"/>
          <w:highlight w:val="white"/>
        </w:rPr>
        <w:t xml:space="preserve"> </w:t>
      </w:r>
      <w:r w:rsidR="009D3B46">
        <w:rPr>
          <w:sz w:val="24"/>
          <w:szCs w:val="24"/>
          <w:highlight w:val="white"/>
        </w:rPr>
        <w:t xml:space="preserve">(J) </w:t>
      </w:r>
      <w:r w:rsidRPr="00161F12">
        <w:rPr>
          <w:sz w:val="24"/>
          <w:szCs w:val="24"/>
          <w:highlight w:val="white"/>
        </w:rPr>
        <w:t>pueden mejorar su aplicabilidad clínica en el contexto chileno</w:t>
      </w:r>
    </w:p>
    <w:p w14:paraId="4D038647" w14:textId="7C6B7EFB" w:rsidR="00F26601" w:rsidRPr="009D3B46" w:rsidRDefault="00000000" w:rsidP="00161F12">
      <w:pPr>
        <w:spacing w:line="480" w:lineRule="auto"/>
        <w:rPr>
          <w:b/>
          <w:bCs/>
          <w:sz w:val="24"/>
          <w:szCs w:val="24"/>
          <w:highlight w:val="white"/>
        </w:rPr>
      </w:pPr>
      <w:r w:rsidRPr="009D3B46">
        <w:rPr>
          <w:b/>
          <w:bCs/>
          <w:sz w:val="24"/>
          <w:szCs w:val="24"/>
          <w:highlight w:val="white"/>
        </w:rPr>
        <w:t xml:space="preserve"> </w:t>
      </w:r>
      <w:proofErr w:type="spellStart"/>
      <w:r w:rsidR="009D3B46" w:rsidRPr="009D3B46">
        <w:rPr>
          <w:b/>
          <w:bCs/>
          <w:sz w:val="24"/>
          <w:szCs w:val="24"/>
          <w:highlight w:val="white"/>
        </w:rPr>
        <w:t>Bibliografia</w:t>
      </w:r>
      <w:proofErr w:type="spellEnd"/>
    </w:p>
    <w:p w14:paraId="1B431F59" w14:textId="77777777" w:rsidR="00F26601" w:rsidRPr="00161F12" w:rsidRDefault="00F26601" w:rsidP="00161F12">
      <w:pPr>
        <w:spacing w:line="480" w:lineRule="auto"/>
        <w:rPr>
          <w:sz w:val="24"/>
          <w:szCs w:val="24"/>
          <w:highlight w:val="white"/>
        </w:rPr>
      </w:pPr>
    </w:p>
    <w:p w14:paraId="4273B12F" w14:textId="77777777" w:rsidR="009D3B46" w:rsidRPr="009D3B46" w:rsidRDefault="009D3B46" w:rsidP="009D3B46">
      <w:pPr>
        <w:spacing w:after="240" w:line="480" w:lineRule="auto"/>
        <w:ind w:left="384"/>
        <w:rPr>
          <w:sz w:val="24"/>
          <w:szCs w:val="24"/>
          <w:highlight w:val="white"/>
          <w:lang w:val="es-CL"/>
        </w:rPr>
      </w:pPr>
      <w:bookmarkStart w:id="6" w:name="_qju58t4xmme8" w:colFirst="0" w:colLast="0"/>
      <w:bookmarkEnd w:id="6"/>
      <w:r w:rsidRPr="009D3B46">
        <w:rPr>
          <w:b/>
          <w:bCs/>
          <w:sz w:val="24"/>
          <w:szCs w:val="24"/>
          <w:highlight w:val="white"/>
          <w:lang w:val="es-CL"/>
        </w:rPr>
        <w:t>1.</w:t>
      </w:r>
      <w:r w:rsidRPr="009D3B46">
        <w:rPr>
          <w:sz w:val="24"/>
          <w:szCs w:val="24"/>
          <w:highlight w:val="white"/>
          <w:lang w:val="es-CL"/>
        </w:rPr>
        <w:t xml:space="preserve"> </w:t>
      </w:r>
      <w:proofErr w:type="spellStart"/>
      <w:r w:rsidRPr="009D3B46">
        <w:rPr>
          <w:sz w:val="24"/>
          <w:szCs w:val="24"/>
          <w:highlight w:val="white"/>
          <w:lang w:val="es-CL"/>
        </w:rPr>
        <w:t>European</w:t>
      </w:r>
      <w:proofErr w:type="spellEnd"/>
      <w:r w:rsidRPr="009D3B46">
        <w:rPr>
          <w:sz w:val="24"/>
          <w:szCs w:val="24"/>
          <w:highlight w:val="white"/>
          <w:lang w:val="es-CL"/>
        </w:rPr>
        <w:t xml:space="preserve"> </w:t>
      </w:r>
      <w:proofErr w:type="spellStart"/>
      <w:r w:rsidRPr="009D3B46">
        <w:rPr>
          <w:sz w:val="24"/>
          <w:szCs w:val="24"/>
          <w:highlight w:val="white"/>
          <w:lang w:val="es-CL"/>
        </w:rPr>
        <w:t>Association</w:t>
      </w:r>
      <w:proofErr w:type="spellEnd"/>
      <w:r w:rsidRPr="009D3B46">
        <w:rPr>
          <w:sz w:val="24"/>
          <w:szCs w:val="24"/>
          <w:highlight w:val="white"/>
          <w:lang w:val="es-CL"/>
        </w:rPr>
        <w:t xml:space="preserve"> </w:t>
      </w:r>
      <w:proofErr w:type="spellStart"/>
      <w:r w:rsidRPr="009D3B46">
        <w:rPr>
          <w:sz w:val="24"/>
          <w:szCs w:val="24"/>
          <w:highlight w:val="white"/>
          <w:lang w:val="es-CL"/>
        </w:rPr>
        <w:t>of</w:t>
      </w:r>
      <w:proofErr w:type="spellEnd"/>
      <w:r w:rsidRPr="009D3B46">
        <w:rPr>
          <w:sz w:val="24"/>
          <w:szCs w:val="24"/>
          <w:highlight w:val="white"/>
          <w:lang w:val="es-CL"/>
        </w:rPr>
        <w:t xml:space="preserve"> </w:t>
      </w:r>
      <w:proofErr w:type="spellStart"/>
      <w:r w:rsidRPr="009D3B46">
        <w:rPr>
          <w:sz w:val="24"/>
          <w:szCs w:val="24"/>
          <w:highlight w:val="white"/>
          <w:lang w:val="es-CL"/>
        </w:rPr>
        <w:t>Urology</w:t>
      </w:r>
      <w:proofErr w:type="spellEnd"/>
      <w:r w:rsidRPr="009D3B46">
        <w:rPr>
          <w:sz w:val="24"/>
          <w:szCs w:val="24"/>
          <w:highlight w:val="white"/>
          <w:lang w:val="es-CL"/>
        </w:rPr>
        <w:t xml:space="preserve">. </w:t>
      </w:r>
      <w:r w:rsidRPr="009D3B46">
        <w:rPr>
          <w:i/>
          <w:iCs/>
          <w:sz w:val="24"/>
          <w:szCs w:val="24"/>
          <w:highlight w:val="white"/>
          <w:lang w:val="es-CL"/>
        </w:rPr>
        <w:t xml:space="preserve">EAU-EANM-ESTRO-ESUR-ISUP-SIOG </w:t>
      </w:r>
      <w:proofErr w:type="spellStart"/>
      <w:r w:rsidRPr="009D3B46">
        <w:rPr>
          <w:i/>
          <w:iCs/>
          <w:sz w:val="24"/>
          <w:szCs w:val="24"/>
          <w:highlight w:val="white"/>
          <w:lang w:val="es-CL"/>
        </w:rPr>
        <w:t>Guidelines</w:t>
      </w:r>
      <w:proofErr w:type="spellEnd"/>
      <w:r w:rsidRPr="009D3B46">
        <w:rPr>
          <w:i/>
          <w:iCs/>
          <w:sz w:val="24"/>
          <w:szCs w:val="24"/>
          <w:highlight w:val="white"/>
          <w:lang w:val="es-CL"/>
        </w:rPr>
        <w:t xml:space="preserve"> </w:t>
      </w:r>
      <w:proofErr w:type="spellStart"/>
      <w:r w:rsidRPr="009D3B46">
        <w:rPr>
          <w:i/>
          <w:iCs/>
          <w:sz w:val="24"/>
          <w:szCs w:val="24"/>
          <w:highlight w:val="white"/>
          <w:lang w:val="es-CL"/>
        </w:rPr>
        <w:t>on</w:t>
      </w:r>
      <w:proofErr w:type="spellEnd"/>
      <w:r w:rsidRPr="009D3B46">
        <w:rPr>
          <w:i/>
          <w:iCs/>
          <w:sz w:val="24"/>
          <w:szCs w:val="24"/>
          <w:highlight w:val="white"/>
          <w:lang w:val="es-CL"/>
        </w:rPr>
        <w:t xml:space="preserve"> </w:t>
      </w:r>
      <w:proofErr w:type="spellStart"/>
      <w:r w:rsidRPr="009D3B46">
        <w:rPr>
          <w:i/>
          <w:iCs/>
          <w:sz w:val="24"/>
          <w:szCs w:val="24"/>
          <w:highlight w:val="white"/>
          <w:lang w:val="es-CL"/>
        </w:rPr>
        <w:t>Prostate</w:t>
      </w:r>
      <w:proofErr w:type="spellEnd"/>
      <w:r w:rsidRPr="009D3B46">
        <w:rPr>
          <w:i/>
          <w:iCs/>
          <w:sz w:val="24"/>
          <w:szCs w:val="24"/>
          <w:highlight w:val="white"/>
          <w:lang w:val="es-CL"/>
        </w:rPr>
        <w:t xml:space="preserve"> </w:t>
      </w:r>
      <w:proofErr w:type="spellStart"/>
      <w:r w:rsidRPr="009D3B46">
        <w:rPr>
          <w:i/>
          <w:iCs/>
          <w:sz w:val="24"/>
          <w:szCs w:val="24"/>
          <w:highlight w:val="white"/>
          <w:lang w:val="es-CL"/>
        </w:rPr>
        <w:t>Cancer</w:t>
      </w:r>
      <w:proofErr w:type="spellEnd"/>
      <w:r w:rsidRPr="009D3B46">
        <w:rPr>
          <w:i/>
          <w:iCs/>
          <w:sz w:val="24"/>
          <w:szCs w:val="24"/>
          <w:highlight w:val="white"/>
          <w:lang w:val="es-CL"/>
        </w:rPr>
        <w:t xml:space="preserve"> 2025</w:t>
      </w:r>
      <w:r w:rsidRPr="009D3B46">
        <w:rPr>
          <w:sz w:val="24"/>
          <w:szCs w:val="24"/>
          <w:highlight w:val="white"/>
          <w:lang w:val="es-CL"/>
        </w:rPr>
        <w:t xml:space="preserve">. Arnhem, </w:t>
      </w:r>
      <w:proofErr w:type="spellStart"/>
      <w:r w:rsidRPr="009D3B46">
        <w:rPr>
          <w:sz w:val="24"/>
          <w:szCs w:val="24"/>
          <w:highlight w:val="white"/>
          <w:lang w:val="es-CL"/>
        </w:rPr>
        <w:t>The</w:t>
      </w:r>
      <w:proofErr w:type="spellEnd"/>
      <w:r w:rsidRPr="009D3B46">
        <w:rPr>
          <w:sz w:val="24"/>
          <w:szCs w:val="24"/>
          <w:highlight w:val="white"/>
          <w:lang w:val="es-CL"/>
        </w:rPr>
        <w:t xml:space="preserve"> </w:t>
      </w:r>
      <w:proofErr w:type="spellStart"/>
      <w:r w:rsidRPr="009D3B46">
        <w:rPr>
          <w:sz w:val="24"/>
          <w:szCs w:val="24"/>
          <w:highlight w:val="white"/>
          <w:lang w:val="es-CL"/>
        </w:rPr>
        <w:t>Netherlands</w:t>
      </w:r>
      <w:proofErr w:type="spellEnd"/>
      <w:r w:rsidRPr="009D3B46">
        <w:rPr>
          <w:sz w:val="24"/>
          <w:szCs w:val="24"/>
          <w:highlight w:val="white"/>
          <w:lang w:val="es-CL"/>
        </w:rPr>
        <w:t xml:space="preserve">: EAU </w:t>
      </w:r>
      <w:proofErr w:type="spellStart"/>
      <w:r w:rsidRPr="009D3B46">
        <w:rPr>
          <w:sz w:val="24"/>
          <w:szCs w:val="24"/>
          <w:highlight w:val="white"/>
          <w:lang w:val="es-CL"/>
        </w:rPr>
        <w:t>Guidelines</w:t>
      </w:r>
      <w:proofErr w:type="spellEnd"/>
      <w:r w:rsidRPr="009D3B46">
        <w:rPr>
          <w:sz w:val="24"/>
          <w:szCs w:val="24"/>
          <w:highlight w:val="white"/>
          <w:lang w:val="es-CL"/>
        </w:rPr>
        <w:t xml:space="preserve"> Office; 2025. Disponible en: https://uroweb.org/guidelines</w:t>
      </w:r>
    </w:p>
    <w:p w14:paraId="6B612B51" w14:textId="77777777" w:rsidR="009D3B46" w:rsidRPr="009D3B46" w:rsidRDefault="009D3B46" w:rsidP="009D3B46">
      <w:pPr>
        <w:spacing w:after="240" w:line="480" w:lineRule="auto"/>
        <w:ind w:left="384"/>
        <w:rPr>
          <w:sz w:val="24"/>
          <w:szCs w:val="24"/>
          <w:highlight w:val="white"/>
          <w:lang w:val="es-CL"/>
        </w:rPr>
      </w:pPr>
      <w:r w:rsidRPr="009D3B46">
        <w:rPr>
          <w:b/>
          <w:bCs/>
          <w:sz w:val="24"/>
          <w:szCs w:val="24"/>
          <w:highlight w:val="white"/>
          <w:lang w:val="es-CL"/>
        </w:rPr>
        <w:t>2.</w:t>
      </w:r>
      <w:r w:rsidRPr="009D3B46">
        <w:rPr>
          <w:sz w:val="24"/>
          <w:szCs w:val="24"/>
          <w:highlight w:val="white"/>
          <w:lang w:val="es-CL"/>
        </w:rPr>
        <w:t xml:space="preserve"> </w:t>
      </w:r>
      <w:proofErr w:type="spellStart"/>
      <w:r w:rsidRPr="009D3B46">
        <w:rPr>
          <w:sz w:val="24"/>
          <w:szCs w:val="24"/>
          <w:highlight w:val="white"/>
          <w:lang w:val="es-CL"/>
        </w:rPr>
        <w:t>Ferlay</w:t>
      </w:r>
      <w:proofErr w:type="spellEnd"/>
      <w:r w:rsidRPr="009D3B46">
        <w:rPr>
          <w:sz w:val="24"/>
          <w:szCs w:val="24"/>
          <w:highlight w:val="white"/>
          <w:lang w:val="es-CL"/>
        </w:rPr>
        <w:t xml:space="preserve"> J, </w:t>
      </w:r>
      <w:proofErr w:type="spellStart"/>
      <w:r w:rsidRPr="009D3B46">
        <w:rPr>
          <w:sz w:val="24"/>
          <w:szCs w:val="24"/>
          <w:highlight w:val="white"/>
          <w:lang w:val="es-CL"/>
        </w:rPr>
        <w:t>Ervik</w:t>
      </w:r>
      <w:proofErr w:type="spellEnd"/>
      <w:r w:rsidRPr="009D3B46">
        <w:rPr>
          <w:sz w:val="24"/>
          <w:szCs w:val="24"/>
          <w:highlight w:val="white"/>
          <w:lang w:val="es-CL"/>
        </w:rPr>
        <w:t xml:space="preserve"> M, Lam F, </w:t>
      </w:r>
      <w:proofErr w:type="spellStart"/>
      <w:r w:rsidRPr="009D3B46">
        <w:rPr>
          <w:sz w:val="24"/>
          <w:szCs w:val="24"/>
          <w:highlight w:val="white"/>
          <w:lang w:val="es-CL"/>
        </w:rPr>
        <w:t>Laversanne</w:t>
      </w:r>
      <w:proofErr w:type="spellEnd"/>
      <w:r w:rsidRPr="009D3B46">
        <w:rPr>
          <w:sz w:val="24"/>
          <w:szCs w:val="24"/>
          <w:highlight w:val="white"/>
          <w:lang w:val="es-CL"/>
        </w:rPr>
        <w:t xml:space="preserve"> M, </w:t>
      </w:r>
      <w:proofErr w:type="spellStart"/>
      <w:r w:rsidRPr="009D3B46">
        <w:rPr>
          <w:sz w:val="24"/>
          <w:szCs w:val="24"/>
          <w:highlight w:val="white"/>
          <w:lang w:val="es-CL"/>
        </w:rPr>
        <w:t>Colombet</w:t>
      </w:r>
      <w:proofErr w:type="spellEnd"/>
      <w:r w:rsidRPr="009D3B46">
        <w:rPr>
          <w:sz w:val="24"/>
          <w:szCs w:val="24"/>
          <w:highlight w:val="white"/>
          <w:lang w:val="es-CL"/>
        </w:rPr>
        <w:t xml:space="preserve"> M, Mery L, et al. </w:t>
      </w:r>
      <w:r w:rsidRPr="009D3B46">
        <w:rPr>
          <w:i/>
          <w:iCs/>
          <w:sz w:val="24"/>
          <w:szCs w:val="24"/>
          <w:highlight w:val="white"/>
          <w:lang w:val="es-CL"/>
        </w:rPr>
        <w:t xml:space="preserve">Global </w:t>
      </w:r>
      <w:proofErr w:type="spellStart"/>
      <w:r w:rsidRPr="009D3B46">
        <w:rPr>
          <w:i/>
          <w:iCs/>
          <w:sz w:val="24"/>
          <w:szCs w:val="24"/>
          <w:highlight w:val="white"/>
          <w:lang w:val="es-CL"/>
        </w:rPr>
        <w:t>Cancer</w:t>
      </w:r>
      <w:proofErr w:type="spellEnd"/>
      <w:r w:rsidRPr="009D3B46">
        <w:rPr>
          <w:i/>
          <w:iCs/>
          <w:sz w:val="24"/>
          <w:szCs w:val="24"/>
          <w:highlight w:val="white"/>
          <w:lang w:val="es-CL"/>
        </w:rPr>
        <w:t xml:space="preserve"> </w:t>
      </w:r>
      <w:proofErr w:type="spellStart"/>
      <w:r w:rsidRPr="009D3B46">
        <w:rPr>
          <w:i/>
          <w:iCs/>
          <w:sz w:val="24"/>
          <w:szCs w:val="24"/>
          <w:highlight w:val="white"/>
          <w:lang w:val="es-CL"/>
        </w:rPr>
        <w:t>Observatory</w:t>
      </w:r>
      <w:proofErr w:type="spellEnd"/>
      <w:r w:rsidRPr="009D3B46">
        <w:rPr>
          <w:i/>
          <w:iCs/>
          <w:sz w:val="24"/>
          <w:szCs w:val="24"/>
          <w:highlight w:val="white"/>
          <w:lang w:val="es-CL"/>
        </w:rPr>
        <w:t xml:space="preserve">: </w:t>
      </w:r>
      <w:proofErr w:type="spellStart"/>
      <w:r w:rsidRPr="009D3B46">
        <w:rPr>
          <w:i/>
          <w:iCs/>
          <w:sz w:val="24"/>
          <w:szCs w:val="24"/>
          <w:highlight w:val="white"/>
          <w:lang w:val="es-CL"/>
        </w:rPr>
        <w:t>Cancer</w:t>
      </w:r>
      <w:proofErr w:type="spellEnd"/>
      <w:r w:rsidRPr="009D3B46">
        <w:rPr>
          <w:i/>
          <w:iCs/>
          <w:sz w:val="24"/>
          <w:szCs w:val="24"/>
          <w:highlight w:val="white"/>
          <w:lang w:val="es-CL"/>
        </w:rPr>
        <w:t xml:space="preserve"> </w:t>
      </w:r>
      <w:proofErr w:type="spellStart"/>
      <w:r w:rsidRPr="009D3B46">
        <w:rPr>
          <w:i/>
          <w:iCs/>
          <w:sz w:val="24"/>
          <w:szCs w:val="24"/>
          <w:highlight w:val="white"/>
          <w:lang w:val="es-CL"/>
        </w:rPr>
        <w:t>Today</w:t>
      </w:r>
      <w:proofErr w:type="spellEnd"/>
      <w:r w:rsidRPr="009D3B46">
        <w:rPr>
          <w:sz w:val="24"/>
          <w:szCs w:val="24"/>
          <w:highlight w:val="white"/>
          <w:lang w:val="es-CL"/>
        </w:rPr>
        <w:t xml:space="preserve"> [Internet]. Lyon, France: International Agency </w:t>
      </w:r>
      <w:proofErr w:type="spellStart"/>
      <w:r w:rsidRPr="009D3B46">
        <w:rPr>
          <w:sz w:val="24"/>
          <w:szCs w:val="24"/>
          <w:highlight w:val="white"/>
          <w:lang w:val="es-CL"/>
        </w:rPr>
        <w:t>for</w:t>
      </w:r>
      <w:proofErr w:type="spellEnd"/>
      <w:r w:rsidRPr="009D3B46">
        <w:rPr>
          <w:sz w:val="24"/>
          <w:szCs w:val="24"/>
          <w:highlight w:val="white"/>
          <w:lang w:val="es-CL"/>
        </w:rPr>
        <w:t xml:space="preserve"> </w:t>
      </w:r>
      <w:proofErr w:type="spellStart"/>
      <w:r w:rsidRPr="009D3B46">
        <w:rPr>
          <w:sz w:val="24"/>
          <w:szCs w:val="24"/>
          <w:highlight w:val="white"/>
          <w:lang w:val="es-CL"/>
        </w:rPr>
        <w:t>Research</w:t>
      </w:r>
      <w:proofErr w:type="spellEnd"/>
      <w:r w:rsidRPr="009D3B46">
        <w:rPr>
          <w:sz w:val="24"/>
          <w:szCs w:val="24"/>
          <w:highlight w:val="white"/>
          <w:lang w:val="es-CL"/>
        </w:rPr>
        <w:t xml:space="preserve"> </w:t>
      </w:r>
      <w:proofErr w:type="spellStart"/>
      <w:r w:rsidRPr="009D3B46">
        <w:rPr>
          <w:sz w:val="24"/>
          <w:szCs w:val="24"/>
          <w:highlight w:val="white"/>
          <w:lang w:val="es-CL"/>
        </w:rPr>
        <w:t>on</w:t>
      </w:r>
      <w:proofErr w:type="spellEnd"/>
      <w:r w:rsidRPr="009D3B46">
        <w:rPr>
          <w:sz w:val="24"/>
          <w:szCs w:val="24"/>
          <w:highlight w:val="white"/>
          <w:lang w:val="es-CL"/>
        </w:rPr>
        <w:t xml:space="preserve"> </w:t>
      </w:r>
      <w:proofErr w:type="spellStart"/>
      <w:r w:rsidRPr="009D3B46">
        <w:rPr>
          <w:sz w:val="24"/>
          <w:szCs w:val="24"/>
          <w:highlight w:val="white"/>
          <w:lang w:val="es-CL"/>
        </w:rPr>
        <w:t>Cancer</w:t>
      </w:r>
      <w:proofErr w:type="spellEnd"/>
      <w:r w:rsidRPr="009D3B46">
        <w:rPr>
          <w:sz w:val="24"/>
          <w:szCs w:val="24"/>
          <w:highlight w:val="white"/>
          <w:lang w:val="es-CL"/>
        </w:rPr>
        <w:t xml:space="preserve">; 2024. Disponible en: </w:t>
      </w:r>
      <w:hyperlink r:id="rId30" w:tgtFrame="_new" w:history="1">
        <w:r w:rsidRPr="009D3B46">
          <w:rPr>
            <w:rStyle w:val="Hipervnculo"/>
            <w:sz w:val="24"/>
            <w:szCs w:val="24"/>
            <w:highlight w:val="white"/>
            <w:lang w:val="es-CL"/>
          </w:rPr>
          <w:t>https://gco.iarc.who.int/today/</w:t>
        </w:r>
      </w:hyperlink>
    </w:p>
    <w:p w14:paraId="09C7BB10" w14:textId="77777777" w:rsidR="009D3B46" w:rsidRPr="009D3B46" w:rsidRDefault="009D3B46" w:rsidP="009D3B46">
      <w:pPr>
        <w:spacing w:after="240" w:line="480" w:lineRule="auto"/>
        <w:ind w:left="384"/>
        <w:rPr>
          <w:sz w:val="24"/>
          <w:szCs w:val="24"/>
          <w:highlight w:val="white"/>
          <w:lang w:val="es-CL"/>
        </w:rPr>
      </w:pPr>
      <w:r w:rsidRPr="009D3B46">
        <w:rPr>
          <w:b/>
          <w:bCs/>
          <w:sz w:val="24"/>
          <w:szCs w:val="24"/>
          <w:highlight w:val="white"/>
          <w:lang w:val="es-CL"/>
        </w:rPr>
        <w:t>3.</w:t>
      </w:r>
      <w:r w:rsidRPr="009D3B46">
        <w:rPr>
          <w:sz w:val="24"/>
          <w:szCs w:val="24"/>
          <w:highlight w:val="white"/>
          <w:lang w:val="es-CL"/>
        </w:rPr>
        <w:t xml:space="preserve"> Dong B, </w:t>
      </w:r>
      <w:proofErr w:type="spellStart"/>
      <w:r w:rsidRPr="009D3B46">
        <w:rPr>
          <w:sz w:val="24"/>
          <w:szCs w:val="24"/>
          <w:highlight w:val="white"/>
          <w:lang w:val="es-CL"/>
        </w:rPr>
        <w:t>Zhan</w:t>
      </w:r>
      <w:proofErr w:type="spellEnd"/>
      <w:r w:rsidRPr="009D3B46">
        <w:rPr>
          <w:sz w:val="24"/>
          <w:szCs w:val="24"/>
          <w:highlight w:val="white"/>
          <w:lang w:val="es-CL"/>
        </w:rPr>
        <w:t xml:space="preserve"> H, Luan T, Wang J. </w:t>
      </w:r>
      <w:proofErr w:type="spellStart"/>
      <w:r w:rsidRPr="009D3B46">
        <w:rPr>
          <w:sz w:val="24"/>
          <w:szCs w:val="24"/>
          <w:highlight w:val="white"/>
          <w:lang w:val="es-CL"/>
        </w:rPr>
        <w:t>The</w:t>
      </w:r>
      <w:proofErr w:type="spellEnd"/>
      <w:r w:rsidRPr="009D3B46">
        <w:rPr>
          <w:sz w:val="24"/>
          <w:szCs w:val="24"/>
          <w:highlight w:val="white"/>
          <w:lang w:val="es-CL"/>
        </w:rPr>
        <w:t xml:space="preserve"> role and </w:t>
      </w:r>
      <w:proofErr w:type="spellStart"/>
      <w:r w:rsidRPr="009D3B46">
        <w:rPr>
          <w:sz w:val="24"/>
          <w:szCs w:val="24"/>
          <w:highlight w:val="white"/>
          <w:lang w:val="es-CL"/>
        </w:rPr>
        <w:t>controversy</w:t>
      </w:r>
      <w:proofErr w:type="spellEnd"/>
      <w:r w:rsidRPr="009D3B46">
        <w:rPr>
          <w:sz w:val="24"/>
          <w:szCs w:val="24"/>
          <w:highlight w:val="white"/>
          <w:lang w:val="es-CL"/>
        </w:rPr>
        <w:t xml:space="preserve"> </w:t>
      </w:r>
      <w:proofErr w:type="spellStart"/>
      <w:r w:rsidRPr="009D3B46">
        <w:rPr>
          <w:sz w:val="24"/>
          <w:szCs w:val="24"/>
          <w:highlight w:val="white"/>
          <w:lang w:val="es-CL"/>
        </w:rPr>
        <w:t>of</w:t>
      </w:r>
      <w:proofErr w:type="spellEnd"/>
      <w:r w:rsidRPr="009D3B46">
        <w:rPr>
          <w:sz w:val="24"/>
          <w:szCs w:val="24"/>
          <w:highlight w:val="white"/>
          <w:lang w:val="es-CL"/>
        </w:rPr>
        <w:t xml:space="preserve"> </w:t>
      </w:r>
      <w:proofErr w:type="spellStart"/>
      <w:r w:rsidRPr="009D3B46">
        <w:rPr>
          <w:sz w:val="24"/>
          <w:szCs w:val="24"/>
          <w:highlight w:val="white"/>
          <w:lang w:val="es-CL"/>
        </w:rPr>
        <w:t>pelvic</w:t>
      </w:r>
      <w:proofErr w:type="spellEnd"/>
      <w:r w:rsidRPr="009D3B46">
        <w:rPr>
          <w:sz w:val="24"/>
          <w:szCs w:val="24"/>
          <w:highlight w:val="white"/>
          <w:lang w:val="es-CL"/>
        </w:rPr>
        <w:t xml:space="preserve"> </w:t>
      </w:r>
      <w:proofErr w:type="spellStart"/>
      <w:r w:rsidRPr="009D3B46">
        <w:rPr>
          <w:sz w:val="24"/>
          <w:szCs w:val="24"/>
          <w:highlight w:val="white"/>
          <w:lang w:val="es-CL"/>
        </w:rPr>
        <w:t>lymph</w:t>
      </w:r>
      <w:proofErr w:type="spellEnd"/>
      <w:r w:rsidRPr="009D3B46">
        <w:rPr>
          <w:sz w:val="24"/>
          <w:szCs w:val="24"/>
          <w:highlight w:val="white"/>
          <w:lang w:val="es-CL"/>
        </w:rPr>
        <w:t xml:space="preserve"> </w:t>
      </w:r>
      <w:proofErr w:type="spellStart"/>
      <w:r w:rsidRPr="009D3B46">
        <w:rPr>
          <w:sz w:val="24"/>
          <w:szCs w:val="24"/>
          <w:highlight w:val="white"/>
          <w:lang w:val="es-CL"/>
        </w:rPr>
        <w:t>node</w:t>
      </w:r>
      <w:proofErr w:type="spellEnd"/>
      <w:r w:rsidRPr="009D3B46">
        <w:rPr>
          <w:sz w:val="24"/>
          <w:szCs w:val="24"/>
          <w:highlight w:val="white"/>
          <w:lang w:val="es-CL"/>
        </w:rPr>
        <w:t xml:space="preserve"> </w:t>
      </w:r>
      <w:proofErr w:type="spellStart"/>
      <w:r w:rsidRPr="009D3B46">
        <w:rPr>
          <w:sz w:val="24"/>
          <w:szCs w:val="24"/>
          <w:highlight w:val="white"/>
          <w:lang w:val="es-CL"/>
        </w:rPr>
        <w:t>dissection</w:t>
      </w:r>
      <w:proofErr w:type="spellEnd"/>
      <w:r w:rsidRPr="009D3B46">
        <w:rPr>
          <w:sz w:val="24"/>
          <w:szCs w:val="24"/>
          <w:highlight w:val="white"/>
          <w:lang w:val="es-CL"/>
        </w:rPr>
        <w:t xml:space="preserve"> in </w:t>
      </w:r>
      <w:proofErr w:type="spellStart"/>
      <w:r w:rsidRPr="009D3B46">
        <w:rPr>
          <w:sz w:val="24"/>
          <w:szCs w:val="24"/>
          <w:highlight w:val="white"/>
          <w:lang w:val="es-CL"/>
        </w:rPr>
        <w:t>prostate</w:t>
      </w:r>
      <w:proofErr w:type="spellEnd"/>
      <w:r w:rsidRPr="009D3B46">
        <w:rPr>
          <w:sz w:val="24"/>
          <w:szCs w:val="24"/>
          <w:highlight w:val="white"/>
          <w:lang w:val="es-CL"/>
        </w:rPr>
        <w:t xml:space="preserve"> </w:t>
      </w:r>
      <w:proofErr w:type="spellStart"/>
      <w:r w:rsidRPr="009D3B46">
        <w:rPr>
          <w:sz w:val="24"/>
          <w:szCs w:val="24"/>
          <w:highlight w:val="white"/>
          <w:lang w:val="es-CL"/>
        </w:rPr>
        <w:t>cancer</w:t>
      </w:r>
      <w:proofErr w:type="spellEnd"/>
      <w:r w:rsidRPr="009D3B46">
        <w:rPr>
          <w:sz w:val="24"/>
          <w:szCs w:val="24"/>
          <w:highlight w:val="white"/>
          <w:lang w:val="es-CL"/>
        </w:rPr>
        <w:t xml:space="preserve"> </w:t>
      </w:r>
      <w:proofErr w:type="spellStart"/>
      <w:r w:rsidRPr="009D3B46">
        <w:rPr>
          <w:sz w:val="24"/>
          <w:szCs w:val="24"/>
          <w:highlight w:val="white"/>
          <w:lang w:val="es-CL"/>
        </w:rPr>
        <w:t>treatment</w:t>
      </w:r>
      <w:proofErr w:type="spellEnd"/>
      <w:r w:rsidRPr="009D3B46">
        <w:rPr>
          <w:sz w:val="24"/>
          <w:szCs w:val="24"/>
          <w:highlight w:val="white"/>
          <w:lang w:val="es-CL"/>
        </w:rPr>
        <w:t xml:space="preserve">: a </w:t>
      </w:r>
      <w:proofErr w:type="spellStart"/>
      <w:r w:rsidRPr="009D3B46">
        <w:rPr>
          <w:sz w:val="24"/>
          <w:szCs w:val="24"/>
          <w:highlight w:val="white"/>
          <w:lang w:val="es-CL"/>
        </w:rPr>
        <w:t>focused</w:t>
      </w:r>
      <w:proofErr w:type="spellEnd"/>
      <w:r w:rsidRPr="009D3B46">
        <w:rPr>
          <w:sz w:val="24"/>
          <w:szCs w:val="24"/>
          <w:highlight w:val="white"/>
          <w:lang w:val="es-CL"/>
        </w:rPr>
        <w:t xml:space="preserve"> </w:t>
      </w:r>
      <w:proofErr w:type="spellStart"/>
      <w:r w:rsidRPr="009D3B46">
        <w:rPr>
          <w:sz w:val="24"/>
          <w:szCs w:val="24"/>
          <w:highlight w:val="white"/>
          <w:lang w:val="es-CL"/>
        </w:rPr>
        <w:t>review</w:t>
      </w:r>
      <w:proofErr w:type="spellEnd"/>
      <w:r w:rsidRPr="009D3B46">
        <w:rPr>
          <w:sz w:val="24"/>
          <w:szCs w:val="24"/>
          <w:highlight w:val="white"/>
          <w:lang w:val="es-CL"/>
        </w:rPr>
        <w:t xml:space="preserve">. </w:t>
      </w:r>
      <w:proofErr w:type="spellStart"/>
      <w:r w:rsidRPr="009D3B46">
        <w:rPr>
          <w:i/>
          <w:iCs/>
          <w:sz w:val="24"/>
          <w:szCs w:val="24"/>
          <w:highlight w:val="white"/>
          <w:lang w:val="es-CL"/>
        </w:rPr>
        <w:t>World</w:t>
      </w:r>
      <w:proofErr w:type="spellEnd"/>
      <w:r w:rsidRPr="009D3B46">
        <w:rPr>
          <w:i/>
          <w:iCs/>
          <w:sz w:val="24"/>
          <w:szCs w:val="24"/>
          <w:highlight w:val="white"/>
          <w:lang w:val="es-CL"/>
        </w:rPr>
        <w:t xml:space="preserve"> J </w:t>
      </w:r>
      <w:proofErr w:type="spellStart"/>
      <w:r w:rsidRPr="009D3B46">
        <w:rPr>
          <w:i/>
          <w:iCs/>
          <w:sz w:val="24"/>
          <w:szCs w:val="24"/>
          <w:highlight w:val="white"/>
          <w:lang w:val="es-CL"/>
        </w:rPr>
        <w:t>Surg</w:t>
      </w:r>
      <w:proofErr w:type="spellEnd"/>
      <w:r w:rsidRPr="009D3B46">
        <w:rPr>
          <w:i/>
          <w:iCs/>
          <w:sz w:val="24"/>
          <w:szCs w:val="24"/>
          <w:highlight w:val="white"/>
          <w:lang w:val="es-CL"/>
        </w:rPr>
        <w:t xml:space="preserve"> Oncol</w:t>
      </w:r>
      <w:r w:rsidRPr="009D3B46">
        <w:rPr>
          <w:sz w:val="24"/>
          <w:szCs w:val="24"/>
          <w:highlight w:val="white"/>
          <w:lang w:val="es-CL"/>
        </w:rPr>
        <w:t>. 2024;22(1):68. doi:10.1186/s12957-024-03261-5.</w:t>
      </w:r>
    </w:p>
    <w:p w14:paraId="4E601939" w14:textId="77777777" w:rsidR="009D3B46" w:rsidRPr="009D3B46" w:rsidRDefault="009D3B46" w:rsidP="009D3B46">
      <w:pPr>
        <w:spacing w:after="240" w:line="480" w:lineRule="auto"/>
        <w:ind w:left="384"/>
        <w:rPr>
          <w:sz w:val="24"/>
          <w:szCs w:val="24"/>
          <w:highlight w:val="white"/>
          <w:lang w:val="es-CL"/>
        </w:rPr>
      </w:pPr>
      <w:r w:rsidRPr="009D3B46">
        <w:rPr>
          <w:b/>
          <w:bCs/>
          <w:sz w:val="24"/>
          <w:szCs w:val="24"/>
          <w:highlight w:val="white"/>
          <w:lang w:val="es-CL"/>
        </w:rPr>
        <w:lastRenderedPageBreak/>
        <w:t>4.</w:t>
      </w:r>
      <w:r w:rsidRPr="009D3B46">
        <w:rPr>
          <w:sz w:val="24"/>
          <w:szCs w:val="24"/>
          <w:highlight w:val="white"/>
          <w:lang w:val="es-CL"/>
        </w:rPr>
        <w:t xml:space="preserve"> Zhang X, Zhang G, Wang J, Bi J. </w:t>
      </w:r>
      <w:proofErr w:type="spellStart"/>
      <w:r w:rsidRPr="009D3B46">
        <w:rPr>
          <w:sz w:val="24"/>
          <w:szCs w:val="24"/>
          <w:highlight w:val="white"/>
          <w:lang w:val="es-CL"/>
        </w:rPr>
        <w:t>Different</w:t>
      </w:r>
      <w:proofErr w:type="spellEnd"/>
      <w:r w:rsidRPr="009D3B46">
        <w:rPr>
          <w:sz w:val="24"/>
          <w:szCs w:val="24"/>
          <w:highlight w:val="white"/>
          <w:lang w:val="es-CL"/>
        </w:rPr>
        <w:t xml:space="preserve"> </w:t>
      </w:r>
      <w:proofErr w:type="spellStart"/>
      <w:r w:rsidRPr="009D3B46">
        <w:rPr>
          <w:sz w:val="24"/>
          <w:szCs w:val="24"/>
          <w:highlight w:val="white"/>
          <w:lang w:val="es-CL"/>
        </w:rPr>
        <w:t>lymph</w:t>
      </w:r>
      <w:proofErr w:type="spellEnd"/>
      <w:r w:rsidRPr="009D3B46">
        <w:rPr>
          <w:sz w:val="24"/>
          <w:szCs w:val="24"/>
          <w:highlight w:val="white"/>
          <w:lang w:val="es-CL"/>
        </w:rPr>
        <w:t xml:space="preserve"> </w:t>
      </w:r>
      <w:proofErr w:type="spellStart"/>
      <w:r w:rsidRPr="009D3B46">
        <w:rPr>
          <w:sz w:val="24"/>
          <w:szCs w:val="24"/>
          <w:highlight w:val="white"/>
          <w:lang w:val="es-CL"/>
        </w:rPr>
        <w:t>node</w:t>
      </w:r>
      <w:proofErr w:type="spellEnd"/>
      <w:r w:rsidRPr="009D3B46">
        <w:rPr>
          <w:sz w:val="24"/>
          <w:szCs w:val="24"/>
          <w:highlight w:val="white"/>
          <w:lang w:val="es-CL"/>
        </w:rPr>
        <w:t xml:space="preserve"> </w:t>
      </w:r>
      <w:proofErr w:type="spellStart"/>
      <w:r w:rsidRPr="009D3B46">
        <w:rPr>
          <w:sz w:val="24"/>
          <w:szCs w:val="24"/>
          <w:highlight w:val="white"/>
          <w:lang w:val="es-CL"/>
        </w:rPr>
        <w:t>dissection</w:t>
      </w:r>
      <w:proofErr w:type="spellEnd"/>
      <w:r w:rsidRPr="009D3B46">
        <w:rPr>
          <w:sz w:val="24"/>
          <w:szCs w:val="24"/>
          <w:highlight w:val="white"/>
          <w:lang w:val="es-CL"/>
        </w:rPr>
        <w:t xml:space="preserve"> </w:t>
      </w:r>
      <w:proofErr w:type="spellStart"/>
      <w:r w:rsidRPr="009D3B46">
        <w:rPr>
          <w:sz w:val="24"/>
          <w:szCs w:val="24"/>
          <w:highlight w:val="white"/>
          <w:lang w:val="es-CL"/>
        </w:rPr>
        <w:t>ranges</w:t>
      </w:r>
      <w:proofErr w:type="spellEnd"/>
      <w:r w:rsidRPr="009D3B46">
        <w:rPr>
          <w:sz w:val="24"/>
          <w:szCs w:val="24"/>
          <w:highlight w:val="white"/>
          <w:lang w:val="es-CL"/>
        </w:rPr>
        <w:t xml:space="preserve"> </w:t>
      </w:r>
      <w:proofErr w:type="spellStart"/>
      <w:r w:rsidRPr="009D3B46">
        <w:rPr>
          <w:sz w:val="24"/>
          <w:szCs w:val="24"/>
          <w:highlight w:val="white"/>
          <w:lang w:val="es-CL"/>
        </w:rPr>
        <w:t>during</w:t>
      </w:r>
      <w:proofErr w:type="spellEnd"/>
      <w:r w:rsidRPr="009D3B46">
        <w:rPr>
          <w:sz w:val="24"/>
          <w:szCs w:val="24"/>
          <w:highlight w:val="white"/>
          <w:lang w:val="es-CL"/>
        </w:rPr>
        <w:t xml:space="preserve"> radical </w:t>
      </w:r>
      <w:proofErr w:type="spellStart"/>
      <w:r w:rsidRPr="009D3B46">
        <w:rPr>
          <w:sz w:val="24"/>
          <w:szCs w:val="24"/>
          <w:highlight w:val="white"/>
          <w:lang w:val="es-CL"/>
        </w:rPr>
        <w:t>prostatectomy</w:t>
      </w:r>
      <w:proofErr w:type="spellEnd"/>
      <w:r w:rsidRPr="009D3B46">
        <w:rPr>
          <w:sz w:val="24"/>
          <w:szCs w:val="24"/>
          <w:highlight w:val="white"/>
          <w:lang w:val="es-CL"/>
        </w:rPr>
        <w:t xml:space="preserve"> </w:t>
      </w:r>
      <w:proofErr w:type="spellStart"/>
      <w:r w:rsidRPr="009D3B46">
        <w:rPr>
          <w:sz w:val="24"/>
          <w:szCs w:val="24"/>
          <w:highlight w:val="white"/>
          <w:lang w:val="es-CL"/>
        </w:rPr>
        <w:t>for</w:t>
      </w:r>
      <w:proofErr w:type="spellEnd"/>
      <w:r w:rsidRPr="009D3B46">
        <w:rPr>
          <w:sz w:val="24"/>
          <w:szCs w:val="24"/>
          <w:highlight w:val="white"/>
          <w:lang w:val="es-CL"/>
        </w:rPr>
        <w:t xml:space="preserve"> </w:t>
      </w:r>
      <w:proofErr w:type="spellStart"/>
      <w:r w:rsidRPr="009D3B46">
        <w:rPr>
          <w:sz w:val="24"/>
          <w:szCs w:val="24"/>
          <w:highlight w:val="white"/>
          <w:lang w:val="es-CL"/>
        </w:rPr>
        <w:t>patients</w:t>
      </w:r>
      <w:proofErr w:type="spellEnd"/>
      <w:r w:rsidRPr="009D3B46">
        <w:rPr>
          <w:sz w:val="24"/>
          <w:szCs w:val="24"/>
          <w:highlight w:val="white"/>
          <w:lang w:val="es-CL"/>
        </w:rPr>
        <w:t xml:space="preserve"> </w:t>
      </w:r>
      <w:proofErr w:type="spellStart"/>
      <w:r w:rsidRPr="009D3B46">
        <w:rPr>
          <w:sz w:val="24"/>
          <w:szCs w:val="24"/>
          <w:highlight w:val="white"/>
          <w:lang w:val="es-CL"/>
        </w:rPr>
        <w:t>with</w:t>
      </w:r>
      <w:proofErr w:type="spellEnd"/>
      <w:r w:rsidRPr="009D3B46">
        <w:rPr>
          <w:sz w:val="24"/>
          <w:szCs w:val="24"/>
          <w:highlight w:val="white"/>
          <w:lang w:val="es-CL"/>
        </w:rPr>
        <w:t xml:space="preserve"> </w:t>
      </w:r>
      <w:proofErr w:type="spellStart"/>
      <w:r w:rsidRPr="009D3B46">
        <w:rPr>
          <w:sz w:val="24"/>
          <w:szCs w:val="24"/>
          <w:highlight w:val="white"/>
          <w:lang w:val="es-CL"/>
        </w:rPr>
        <w:t>prostate</w:t>
      </w:r>
      <w:proofErr w:type="spellEnd"/>
      <w:r w:rsidRPr="009D3B46">
        <w:rPr>
          <w:sz w:val="24"/>
          <w:szCs w:val="24"/>
          <w:highlight w:val="white"/>
          <w:lang w:val="es-CL"/>
        </w:rPr>
        <w:t xml:space="preserve"> </w:t>
      </w:r>
      <w:proofErr w:type="spellStart"/>
      <w:r w:rsidRPr="009D3B46">
        <w:rPr>
          <w:sz w:val="24"/>
          <w:szCs w:val="24"/>
          <w:highlight w:val="white"/>
          <w:lang w:val="es-CL"/>
        </w:rPr>
        <w:t>cancer</w:t>
      </w:r>
      <w:proofErr w:type="spellEnd"/>
      <w:r w:rsidRPr="009D3B46">
        <w:rPr>
          <w:sz w:val="24"/>
          <w:szCs w:val="24"/>
          <w:highlight w:val="white"/>
          <w:lang w:val="es-CL"/>
        </w:rPr>
        <w:t xml:space="preserve">: a </w:t>
      </w:r>
      <w:proofErr w:type="spellStart"/>
      <w:r w:rsidRPr="009D3B46">
        <w:rPr>
          <w:sz w:val="24"/>
          <w:szCs w:val="24"/>
          <w:highlight w:val="white"/>
          <w:lang w:val="es-CL"/>
        </w:rPr>
        <w:t>systematic</w:t>
      </w:r>
      <w:proofErr w:type="spellEnd"/>
      <w:r w:rsidRPr="009D3B46">
        <w:rPr>
          <w:sz w:val="24"/>
          <w:szCs w:val="24"/>
          <w:highlight w:val="white"/>
          <w:lang w:val="es-CL"/>
        </w:rPr>
        <w:t xml:space="preserve"> </w:t>
      </w:r>
      <w:proofErr w:type="spellStart"/>
      <w:r w:rsidRPr="009D3B46">
        <w:rPr>
          <w:sz w:val="24"/>
          <w:szCs w:val="24"/>
          <w:highlight w:val="white"/>
          <w:lang w:val="es-CL"/>
        </w:rPr>
        <w:t>review</w:t>
      </w:r>
      <w:proofErr w:type="spellEnd"/>
      <w:r w:rsidRPr="009D3B46">
        <w:rPr>
          <w:sz w:val="24"/>
          <w:szCs w:val="24"/>
          <w:highlight w:val="white"/>
          <w:lang w:val="es-CL"/>
        </w:rPr>
        <w:t xml:space="preserve"> and </w:t>
      </w:r>
      <w:proofErr w:type="spellStart"/>
      <w:r w:rsidRPr="009D3B46">
        <w:rPr>
          <w:sz w:val="24"/>
          <w:szCs w:val="24"/>
          <w:highlight w:val="white"/>
          <w:lang w:val="es-CL"/>
        </w:rPr>
        <w:t>network</w:t>
      </w:r>
      <w:proofErr w:type="spellEnd"/>
      <w:r w:rsidRPr="009D3B46">
        <w:rPr>
          <w:sz w:val="24"/>
          <w:szCs w:val="24"/>
          <w:highlight w:val="white"/>
          <w:lang w:val="es-CL"/>
        </w:rPr>
        <w:t xml:space="preserve"> meta-</w:t>
      </w:r>
      <w:proofErr w:type="spellStart"/>
      <w:r w:rsidRPr="009D3B46">
        <w:rPr>
          <w:sz w:val="24"/>
          <w:szCs w:val="24"/>
          <w:highlight w:val="white"/>
          <w:lang w:val="es-CL"/>
        </w:rPr>
        <w:t>analysis</w:t>
      </w:r>
      <w:proofErr w:type="spellEnd"/>
      <w:r w:rsidRPr="009D3B46">
        <w:rPr>
          <w:sz w:val="24"/>
          <w:szCs w:val="24"/>
          <w:highlight w:val="white"/>
          <w:lang w:val="es-CL"/>
        </w:rPr>
        <w:t xml:space="preserve">. </w:t>
      </w:r>
      <w:proofErr w:type="spellStart"/>
      <w:r w:rsidRPr="009D3B46">
        <w:rPr>
          <w:i/>
          <w:iCs/>
          <w:sz w:val="24"/>
          <w:szCs w:val="24"/>
          <w:highlight w:val="white"/>
          <w:lang w:val="es-CL"/>
        </w:rPr>
        <w:t>World</w:t>
      </w:r>
      <w:proofErr w:type="spellEnd"/>
      <w:r w:rsidRPr="009D3B46">
        <w:rPr>
          <w:i/>
          <w:iCs/>
          <w:sz w:val="24"/>
          <w:szCs w:val="24"/>
          <w:highlight w:val="white"/>
          <w:lang w:val="es-CL"/>
        </w:rPr>
        <w:t xml:space="preserve"> J </w:t>
      </w:r>
      <w:proofErr w:type="spellStart"/>
      <w:r w:rsidRPr="009D3B46">
        <w:rPr>
          <w:i/>
          <w:iCs/>
          <w:sz w:val="24"/>
          <w:szCs w:val="24"/>
          <w:highlight w:val="white"/>
          <w:lang w:val="es-CL"/>
        </w:rPr>
        <w:t>Surg</w:t>
      </w:r>
      <w:proofErr w:type="spellEnd"/>
      <w:r w:rsidRPr="009D3B46">
        <w:rPr>
          <w:i/>
          <w:iCs/>
          <w:sz w:val="24"/>
          <w:szCs w:val="24"/>
          <w:highlight w:val="white"/>
          <w:lang w:val="es-CL"/>
        </w:rPr>
        <w:t xml:space="preserve"> Oncol</w:t>
      </w:r>
      <w:r w:rsidRPr="009D3B46">
        <w:rPr>
          <w:sz w:val="24"/>
          <w:szCs w:val="24"/>
          <w:highlight w:val="white"/>
          <w:lang w:val="es-CL"/>
        </w:rPr>
        <w:t>. 2023;21(1):80. doi:10.1186/s12957-023-03040-5.</w:t>
      </w:r>
    </w:p>
    <w:p w14:paraId="57B47353" w14:textId="77777777" w:rsidR="009D3B46" w:rsidRPr="009D3B46" w:rsidRDefault="009D3B46" w:rsidP="009D3B46">
      <w:pPr>
        <w:spacing w:after="240" w:line="480" w:lineRule="auto"/>
        <w:ind w:left="384"/>
        <w:rPr>
          <w:sz w:val="24"/>
          <w:szCs w:val="24"/>
          <w:highlight w:val="white"/>
          <w:lang w:val="es-CL"/>
        </w:rPr>
      </w:pPr>
      <w:r w:rsidRPr="009D3B46">
        <w:rPr>
          <w:b/>
          <w:bCs/>
          <w:sz w:val="24"/>
          <w:szCs w:val="24"/>
          <w:highlight w:val="white"/>
          <w:lang w:val="es-CL"/>
        </w:rPr>
        <w:t>5.</w:t>
      </w:r>
      <w:r w:rsidRPr="009D3B46">
        <w:rPr>
          <w:sz w:val="24"/>
          <w:szCs w:val="24"/>
          <w:highlight w:val="white"/>
          <w:lang w:val="es-CL"/>
        </w:rPr>
        <w:t xml:space="preserve"> Fossati N, </w:t>
      </w:r>
      <w:proofErr w:type="spellStart"/>
      <w:r w:rsidRPr="009D3B46">
        <w:rPr>
          <w:sz w:val="24"/>
          <w:szCs w:val="24"/>
          <w:highlight w:val="white"/>
          <w:lang w:val="es-CL"/>
        </w:rPr>
        <w:t>Willemse</w:t>
      </w:r>
      <w:proofErr w:type="spellEnd"/>
      <w:r w:rsidRPr="009D3B46">
        <w:rPr>
          <w:sz w:val="24"/>
          <w:szCs w:val="24"/>
          <w:highlight w:val="white"/>
          <w:lang w:val="es-CL"/>
        </w:rPr>
        <w:t xml:space="preserve"> PPM, Van den </w:t>
      </w:r>
      <w:proofErr w:type="spellStart"/>
      <w:r w:rsidRPr="009D3B46">
        <w:rPr>
          <w:sz w:val="24"/>
          <w:szCs w:val="24"/>
          <w:highlight w:val="white"/>
          <w:lang w:val="es-CL"/>
        </w:rPr>
        <w:t>Broeck</w:t>
      </w:r>
      <w:proofErr w:type="spellEnd"/>
      <w:r w:rsidRPr="009D3B46">
        <w:rPr>
          <w:sz w:val="24"/>
          <w:szCs w:val="24"/>
          <w:highlight w:val="white"/>
          <w:lang w:val="es-CL"/>
        </w:rPr>
        <w:t xml:space="preserve"> T, Van den Bergh RCN, Yuan CY, </w:t>
      </w:r>
      <w:proofErr w:type="spellStart"/>
      <w:r w:rsidRPr="009D3B46">
        <w:rPr>
          <w:sz w:val="24"/>
          <w:szCs w:val="24"/>
          <w:highlight w:val="white"/>
          <w:lang w:val="es-CL"/>
        </w:rPr>
        <w:t>Briers</w:t>
      </w:r>
      <w:proofErr w:type="spellEnd"/>
      <w:r w:rsidRPr="009D3B46">
        <w:rPr>
          <w:sz w:val="24"/>
          <w:szCs w:val="24"/>
          <w:highlight w:val="white"/>
          <w:lang w:val="es-CL"/>
        </w:rPr>
        <w:t xml:space="preserve"> E, et al. </w:t>
      </w:r>
      <w:proofErr w:type="spellStart"/>
      <w:r w:rsidRPr="009D3B46">
        <w:rPr>
          <w:sz w:val="24"/>
          <w:szCs w:val="24"/>
          <w:highlight w:val="white"/>
          <w:lang w:val="es-CL"/>
        </w:rPr>
        <w:t>The</w:t>
      </w:r>
      <w:proofErr w:type="spellEnd"/>
      <w:r w:rsidRPr="009D3B46">
        <w:rPr>
          <w:sz w:val="24"/>
          <w:szCs w:val="24"/>
          <w:highlight w:val="white"/>
          <w:lang w:val="es-CL"/>
        </w:rPr>
        <w:t xml:space="preserve"> </w:t>
      </w:r>
      <w:proofErr w:type="spellStart"/>
      <w:r w:rsidRPr="009D3B46">
        <w:rPr>
          <w:sz w:val="24"/>
          <w:szCs w:val="24"/>
          <w:highlight w:val="white"/>
          <w:lang w:val="es-CL"/>
        </w:rPr>
        <w:t>benefits</w:t>
      </w:r>
      <w:proofErr w:type="spellEnd"/>
      <w:r w:rsidRPr="009D3B46">
        <w:rPr>
          <w:sz w:val="24"/>
          <w:szCs w:val="24"/>
          <w:highlight w:val="white"/>
          <w:lang w:val="es-CL"/>
        </w:rPr>
        <w:t xml:space="preserve"> and </w:t>
      </w:r>
      <w:proofErr w:type="spellStart"/>
      <w:r w:rsidRPr="009D3B46">
        <w:rPr>
          <w:sz w:val="24"/>
          <w:szCs w:val="24"/>
          <w:highlight w:val="white"/>
          <w:lang w:val="es-CL"/>
        </w:rPr>
        <w:t>harms</w:t>
      </w:r>
      <w:proofErr w:type="spellEnd"/>
      <w:r w:rsidRPr="009D3B46">
        <w:rPr>
          <w:sz w:val="24"/>
          <w:szCs w:val="24"/>
          <w:highlight w:val="white"/>
          <w:lang w:val="es-CL"/>
        </w:rPr>
        <w:t xml:space="preserve"> </w:t>
      </w:r>
      <w:proofErr w:type="spellStart"/>
      <w:r w:rsidRPr="009D3B46">
        <w:rPr>
          <w:sz w:val="24"/>
          <w:szCs w:val="24"/>
          <w:highlight w:val="white"/>
          <w:lang w:val="es-CL"/>
        </w:rPr>
        <w:t>of</w:t>
      </w:r>
      <w:proofErr w:type="spellEnd"/>
      <w:r w:rsidRPr="009D3B46">
        <w:rPr>
          <w:sz w:val="24"/>
          <w:szCs w:val="24"/>
          <w:highlight w:val="white"/>
          <w:lang w:val="es-CL"/>
        </w:rPr>
        <w:t xml:space="preserve"> </w:t>
      </w:r>
      <w:proofErr w:type="spellStart"/>
      <w:r w:rsidRPr="009D3B46">
        <w:rPr>
          <w:sz w:val="24"/>
          <w:szCs w:val="24"/>
          <w:highlight w:val="white"/>
          <w:lang w:val="es-CL"/>
        </w:rPr>
        <w:t>different</w:t>
      </w:r>
      <w:proofErr w:type="spellEnd"/>
      <w:r w:rsidRPr="009D3B46">
        <w:rPr>
          <w:sz w:val="24"/>
          <w:szCs w:val="24"/>
          <w:highlight w:val="white"/>
          <w:lang w:val="es-CL"/>
        </w:rPr>
        <w:t xml:space="preserve"> </w:t>
      </w:r>
      <w:proofErr w:type="spellStart"/>
      <w:r w:rsidRPr="009D3B46">
        <w:rPr>
          <w:sz w:val="24"/>
          <w:szCs w:val="24"/>
          <w:highlight w:val="white"/>
          <w:lang w:val="es-CL"/>
        </w:rPr>
        <w:t>extents</w:t>
      </w:r>
      <w:proofErr w:type="spellEnd"/>
      <w:r w:rsidRPr="009D3B46">
        <w:rPr>
          <w:sz w:val="24"/>
          <w:szCs w:val="24"/>
          <w:highlight w:val="white"/>
          <w:lang w:val="es-CL"/>
        </w:rPr>
        <w:t xml:space="preserve"> </w:t>
      </w:r>
      <w:proofErr w:type="spellStart"/>
      <w:r w:rsidRPr="009D3B46">
        <w:rPr>
          <w:sz w:val="24"/>
          <w:szCs w:val="24"/>
          <w:highlight w:val="white"/>
          <w:lang w:val="es-CL"/>
        </w:rPr>
        <w:t>of</w:t>
      </w:r>
      <w:proofErr w:type="spellEnd"/>
      <w:r w:rsidRPr="009D3B46">
        <w:rPr>
          <w:sz w:val="24"/>
          <w:szCs w:val="24"/>
          <w:highlight w:val="white"/>
          <w:lang w:val="es-CL"/>
        </w:rPr>
        <w:t xml:space="preserve"> </w:t>
      </w:r>
      <w:proofErr w:type="spellStart"/>
      <w:r w:rsidRPr="009D3B46">
        <w:rPr>
          <w:sz w:val="24"/>
          <w:szCs w:val="24"/>
          <w:highlight w:val="white"/>
          <w:lang w:val="es-CL"/>
        </w:rPr>
        <w:t>lymph</w:t>
      </w:r>
      <w:proofErr w:type="spellEnd"/>
      <w:r w:rsidRPr="009D3B46">
        <w:rPr>
          <w:sz w:val="24"/>
          <w:szCs w:val="24"/>
          <w:highlight w:val="white"/>
          <w:lang w:val="es-CL"/>
        </w:rPr>
        <w:t xml:space="preserve"> </w:t>
      </w:r>
      <w:proofErr w:type="spellStart"/>
      <w:r w:rsidRPr="009D3B46">
        <w:rPr>
          <w:sz w:val="24"/>
          <w:szCs w:val="24"/>
          <w:highlight w:val="white"/>
          <w:lang w:val="es-CL"/>
        </w:rPr>
        <w:t>node</w:t>
      </w:r>
      <w:proofErr w:type="spellEnd"/>
      <w:r w:rsidRPr="009D3B46">
        <w:rPr>
          <w:sz w:val="24"/>
          <w:szCs w:val="24"/>
          <w:highlight w:val="white"/>
          <w:lang w:val="es-CL"/>
        </w:rPr>
        <w:t xml:space="preserve"> </w:t>
      </w:r>
      <w:proofErr w:type="spellStart"/>
      <w:r w:rsidRPr="009D3B46">
        <w:rPr>
          <w:sz w:val="24"/>
          <w:szCs w:val="24"/>
          <w:highlight w:val="white"/>
          <w:lang w:val="es-CL"/>
        </w:rPr>
        <w:t>dissection</w:t>
      </w:r>
      <w:proofErr w:type="spellEnd"/>
      <w:r w:rsidRPr="009D3B46">
        <w:rPr>
          <w:sz w:val="24"/>
          <w:szCs w:val="24"/>
          <w:highlight w:val="white"/>
          <w:lang w:val="es-CL"/>
        </w:rPr>
        <w:t xml:space="preserve"> </w:t>
      </w:r>
      <w:proofErr w:type="spellStart"/>
      <w:r w:rsidRPr="009D3B46">
        <w:rPr>
          <w:sz w:val="24"/>
          <w:szCs w:val="24"/>
          <w:highlight w:val="white"/>
          <w:lang w:val="es-CL"/>
        </w:rPr>
        <w:t>during</w:t>
      </w:r>
      <w:proofErr w:type="spellEnd"/>
      <w:r w:rsidRPr="009D3B46">
        <w:rPr>
          <w:sz w:val="24"/>
          <w:szCs w:val="24"/>
          <w:highlight w:val="white"/>
          <w:lang w:val="es-CL"/>
        </w:rPr>
        <w:t xml:space="preserve"> radical </w:t>
      </w:r>
      <w:proofErr w:type="spellStart"/>
      <w:r w:rsidRPr="009D3B46">
        <w:rPr>
          <w:sz w:val="24"/>
          <w:szCs w:val="24"/>
          <w:highlight w:val="white"/>
          <w:lang w:val="es-CL"/>
        </w:rPr>
        <w:t>prostatectomy</w:t>
      </w:r>
      <w:proofErr w:type="spellEnd"/>
      <w:r w:rsidRPr="009D3B46">
        <w:rPr>
          <w:sz w:val="24"/>
          <w:szCs w:val="24"/>
          <w:highlight w:val="white"/>
          <w:lang w:val="es-CL"/>
        </w:rPr>
        <w:t xml:space="preserve"> </w:t>
      </w:r>
      <w:proofErr w:type="spellStart"/>
      <w:r w:rsidRPr="009D3B46">
        <w:rPr>
          <w:sz w:val="24"/>
          <w:szCs w:val="24"/>
          <w:highlight w:val="white"/>
          <w:lang w:val="es-CL"/>
        </w:rPr>
        <w:t>for</w:t>
      </w:r>
      <w:proofErr w:type="spellEnd"/>
      <w:r w:rsidRPr="009D3B46">
        <w:rPr>
          <w:sz w:val="24"/>
          <w:szCs w:val="24"/>
          <w:highlight w:val="white"/>
          <w:lang w:val="es-CL"/>
        </w:rPr>
        <w:t xml:space="preserve"> </w:t>
      </w:r>
      <w:proofErr w:type="spellStart"/>
      <w:r w:rsidRPr="009D3B46">
        <w:rPr>
          <w:sz w:val="24"/>
          <w:szCs w:val="24"/>
          <w:highlight w:val="white"/>
          <w:lang w:val="es-CL"/>
        </w:rPr>
        <w:t>prostate</w:t>
      </w:r>
      <w:proofErr w:type="spellEnd"/>
      <w:r w:rsidRPr="009D3B46">
        <w:rPr>
          <w:sz w:val="24"/>
          <w:szCs w:val="24"/>
          <w:highlight w:val="white"/>
          <w:lang w:val="es-CL"/>
        </w:rPr>
        <w:t xml:space="preserve"> </w:t>
      </w:r>
      <w:proofErr w:type="spellStart"/>
      <w:r w:rsidRPr="009D3B46">
        <w:rPr>
          <w:sz w:val="24"/>
          <w:szCs w:val="24"/>
          <w:highlight w:val="white"/>
          <w:lang w:val="es-CL"/>
        </w:rPr>
        <w:t>cancer</w:t>
      </w:r>
      <w:proofErr w:type="spellEnd"/>
      <w:r w:rsidRPr="009D3B46">
        <w:rPr>
          <w:sz w:val="24"/>
          <w:szCs w:val="24"/>
          <w:highlight w:val="white"/>
          <w:lang w:val="es-CL"/>
        </w:rPr>
        <w:t xml:space="preserve">: a </w:t>
      </w:r>
      <w:proofErr w:type="spellStart"/>
      <w:r w:rsidRPr="009D3B46">
        <w:rPr>
          <w:sz w:val="24"/>
          <w:szCs w:val="24"/>
          <w:highlight w:val="white"/>
          <w:lang w:val="es-CL"/>
        </w:rPr>
        <w:t>systematic</w:t>
      </w:r>
      <w:proofErr w:type="spellEnd"/>
      <w:r w:rsidRPr="009D3B46">
        <w:rPr>
          <w:sz w:val="24"/>
          <w:szCs w:val="24"/>
          <w:highlight w:val="white"/>
          <w:lang w:val="es-CL"/>
        </w:rPr>
        <w:t xml:space="preserve"> </w:t>
      </w:r>
      <w:proofErr w:type="spellStart"/>
      <w:r w:rsidRPr="009D3B46">
        <w:rPr>
          <w:sz w:val="24"/>
          <w:szCs w:val="24"/>
          <w:highlight w:val="white"/>
          <w:lang w:val="es-CL"/>
        </w:rPr>
        <w:t>review</w:t>
      </w:r>
      <w:proofErr w:type="spellEnd"/>
      <w:r w:rsidRPr="009D3B46">
        <w:rPr>
          <w:sz w:val="24"/>
          <w:szCs w:val="24"/>
          <w:highlight w:val="white"/>
          <w:lang w:val="es-CL"/>
        </w:rPr>
        <w:t xml:space="preserve">. </w:t>
      </w:r>
      <w:proofErr w:type="spellStart"/>
      <w:r w:rsidRPr="009D3B46">
        <w:rPr>
          <w:i/>
          <w:iCs/>
          <w:sz w:val="24"/>
          <w:szCs w:val="24"/>
          <w:highlight w:val="white"/>
          <w:lang w:val="es-CL"/>
        </w:rPr>
        <w:t>Eur</w:t>
      </w:r>
      <w:proofErr w:type="spellEnd"/>
      <w:r w:rsidRPr="009D3B46">
        <w:rPr>
          <w:i/>
          <w:iCs/>
          <w:sz w:val="24"/>
          <w:szCs w:val="24"/>
          <w:highlight w:val="white"/>
          <w:lang w:val="es-CL"/>
        </w:rPr>
        <w:t xml:space="preserve"> </w:t>
      </w:r>
      <w:proofErr w:type="spellStart"/>
      <w:r w:rsidRPr="009D3B46">
        <w:rPr>
          <w:i/>
          <w:iCs/>
          <w:sz w:val="24"/>
          <w:szCs w:val="24"/>
          <w:highlight w:val="white"/>
          <w:lang w:val="es-CL"/>
        </w:rPr>
        <w:t>Urol</w:t>
      </w:r>
      <w:proofErr w:type="spellEnd"/>
      <w:r w:rsidRPr="009D3B46">
        <w:rPr>
          <w:sz w:val="24"/>
          <w:szCs w:val="24"/>
          <w:highlight w:val="white"/>
          <w:lang w:val="es-CL"/>
        </w:rPr>
        <w:t>. 2017;72(1):84-109. doi:10.1016/j.eururo.2016.12.003.</w:t>
      </w:r>
    </w:p>
    <w:p w14:paraId="40B92C44" w14:textId="77777777" w:rsidR="009D3B46" w:rsidRPr="009D3B46" w:rsidRDefault="009D3B46" w:rsidP="009D3B46">
      <w:pPr>
        <w:spacing w:after="240" w:line="480" w:lineRule="auto"/>
        <w:ind w:left="384"/>
        <w:rPr>
          <w:sz w:val="24"/>
          <w:szCs w:val="24"/>
          <w:highlight w:val="white"/>
          <w:lang w:val="es-CL"/>
        </w:rPr>
      </w:pPr>
      <w:r w:rsidRPr="009D3B46">
        <w:rPr>
          <w:b/>
          <w:bCs/>
          <w:sz w:val="24"/>
          <w:szCs w:val="24"/>
          <w:highlight w:val="white"/>
          <w:lang w:val="es-CL"/>
        </w:rPr>
        <w:t>6.</w:t>
      </w:r>
      <w:r w:rsidRPr="009D3B46">
        <w:rPr>
          <w:sz w:val="24"/>
          <w:szCs w:val="24"/>
          <w:highlight w:val="white"/>
          <w:lang w:val="es-CL"/>
        </w:rPr>
        <w:t xml:space="preserve"> </w:t>
      </w:r>
      <w:proofErr w:type="spellStart"/>
      <w:r w:rsidRPr="009D3B46">
        <w:rPr>
          <w:sz w:val="24"/>
          <w:szCs w:val="24"/>
          <w:highlight w:val="white"/>
          <w:lang w:val="es-CL"/>
        </w:rPr>
        <w:t>Spratt</w:t>
      </w:r>
      <w:proofErr w:type="spellEnd"/>
      <w:r w:rsidRPr="009D3B46">
        <w:rPr>
          <w:sz w:val="24"/>
          <w:szCs w:val="24"/>
          <w:highlight w:val="white"/>
          <w:lang w:val="es-CL"/>
        </w:rPr>
        <w:t xml:space="preserve"> DE, </w:t>
      </w:r>
      <w:proofErr w:type="spellStart"/>
      <w:r w:rsidRPr="009D3B46">
        <w:rPr>
          <w:sz w:val="24"/>
          <w:szCs w:val="24"/>
          <w:highlight w:val="white"/>
          <w:lang w:val="es-CL"/>
        </w:rPr>
        <w:t>Srinivas</w:t>
      </w:r>
      <w:proofErr w:type="spellEnd"/>
      <w:r w:rsidRPr="009D3B46">
        <w:rPr>
          <w:sz w:val="24"/>
          <w:szCs w:val="24"/>
          <w:highlight w:val="white"/>
          <w:lang w:val="es-CL"/>
        </w:rPr>
        <w:t xml:space="preserve"> S, Adra N, Ahmed B, </w:t>
      </w:r>
      <w:proofErr w:type="spellStart"/>
      <w:r w:rsidRPr="009D3B46">
        <w:rPr>
          <w:sz w:val="24"/>
          <w:szCs w:val="24"/>
          <w:highlight w:val="white"/>
          <w:lang w:val="es-CL"/>
        </w:rPr>
        <w:t>An</w:t>
      </w:r>
      <w:proofErr w:type="spellEnd"/>
      <w:r w:rsidRPr="009D3B46">
        <w:rPr>
          <w:sz w:val="24"/>
          <w:szCs w:val="24"/>
          <w:highlight w:val="white"/>
          <w:lang w:val="es-CL"/>
        </w:rPr>
        <w:t xml:space="preserve"> Y, </w:t>
      </w:r>
      <w:proofErr w:type="spellStart"/>
      <w:r w:rsidRPr="009D3B46">
        <w:rPr>
          <w:sz w:val="24"/>
          <w:szCs w:val="24"/>
          <w:highlight w:val="white"/>
          <w:lang w:val="es-CL"/>
        </w:rPr>
        <w:t>Bitting</w:t>
      </w:r>
      <w:proofErr w:type="spellEnd"/>
      <w:r w:rsidRPr="009D3B46">
        <w:rPr>
          <w:sz w:val="24"/>
          <w:szCs w:val="24"/>
          <w:highlight w:val="white"/>
          <w:lang w:val="es-CL"/>
        </w:rPr>
        <w:t xml:space="preserve"> R, et al. NCCN </w:t>
      </w:r>
      <w:proofErr w:type="spellStart"/>
      <w:r w:rsidRPr="009D3B46">
        <w:rPr>
          <w:sz w:val="24"/>
          <w:szCs w:val="24"/>
          <w:highlight w:val="white"/>
          <w:lang w:val="es-CL"/>
        </w:rPr>
        <w:t>Clinical</w:t>
      </w:r>
      <w:proofErr w:type="spellEnd"/>
      <w:r w:rsidRPr="009D3B46">
        <w:rPr>
          <w:sz w:val="24"/>
          <w:szCs w:val="24"/>
          <w:highlight w:val="white"/>
          <w:lang w:val="es-CL"/>
        </w:rPr>
        <w:t xml:space="preserve"> </w:t>
      </w:r>
      <w:proofErr w:type="spellStart"/>
      <w:r w:rsidRPr="009D3B46">
        <w:rPr>
          <w:sz w:val="24"/>
          <w:szCs w:val="24"/>
          <w:highlight w:val="white"/>
          <w:lang w:val="es-CL"/>
        </w:rPr>
        <w:t>Practice</w:t>
      </w:r>
      <w:proofErr w:type="spellEnd"/>
      <w:r w:rsidRPr="009D3B46">
        <w:rPr>
          <w:sz w:val="24"/>
          <w:szCs w:val="24"/>
          <w:highlight w:val="white"/>
          <w:lang w:val="es-CL"/>
        </w:rPr>
        <w:t xml:space="preserve"> </w:t>
      </w:r>
      <w:proofErr w:type="spellStart"/>
      <w:r w:rsidRPr="009D3B46">
        <w:rPr>
          <w:sz w:val="24"/>
          <w:szCs w:val="24"/>
          <w:highlight w:val="white"/>
          <w:lang w:val="es-CL"/>
        </w:rPr>
        <w:t>Guidelines</w:t>
      </w:r>
      <w:proofErr w:type="spellEnd"/>
      <w:r w:rsidRPr="009D3B46">
        <w:rPr>
          <w:sz w:val="24"/>
          <w:szCs w:val="24"/>
          <w:highlight w:val="white"/>
          <w:lang w:val="es-CL"/>
        </w:rPr>
        <w:t xml:space="preserve"> in </w:t>
      </w:r>
      <w:proofErr w:type="spellStart"/>
      <w:r w:rsidRPr="009D3B46">
        <w:rPr>
          <w:sz w:val="24"/>
          <w:szCs w:val="24"/>
          <w:highlight w:val="white"/>
          <w:lang w:val="es-CL"/>
        </w:rPr>
        <w:t>Oncology</w:t>
      </w:r>
      <w:proofErr w:type="spellEnd"/>
      <w:r w:rsidRPr="009D3B46">
        <w:rPr>
          <w:sz w:val="24"/>
          <w:szCs w:val="24"/>
          <w:highlight w:val="white"/>
          <w:lang w:val="es-CL"/>
        </w:rPr>
        <w:t xml:space="preserve">: </w:t>
      </w:r>
      <w:proofErr w:type="spellStart"/>
      <w:r w:rsidRPr="009D3B46">
        <w:rPr>
          <w:sz w:val="24"/>
          <w:szCs w:val="24"/>
          <w:highlight w:val="white"/>
          <w:lang w:val="es-CL"/>
        </w:rPr>
        <w:t>Prostate</w:t>
      </w:r>
      <w:proofErr w:type="spellEnd"/>
      <w:r w:rsidRPr="009D3B46">
        <w:rPr>
          <w:sz w:val="24"/>
          <w:szCs w:val="24"/>
          <w:highlight w:val="white"/>
          <w:lang w:val="es-CL"/>
        </w:rPr>
        <w:t xml:space="preserve"> </w:t>
      </w:r>
      <w:proofErr w:type="spellStart"/>
      <w:r w:rsidRPr="009D3B46">
        <w:rPr>
          <w:sz w:val="24"/>
          <w:szCs w:val="24"/>
          <w:highlight w:val="white"/>
          <w:lang w:val="es-CL"/>
        </w:rPr>
        <w:t>Cancer</w:t>
      </w:r>
      <w:proofErr w:type="spellEnd"/>
      <w:r w:rsidRPr="009D3B46">
        <w:rPr>
          <w:sz w:val="24"/>
          <w:szCs w:val="24"/>
          <w:highlight w:val="white"/>
          <w:lang w:val="es-CL"/>
        </w:rPr>
        <w:t xml:space="preserve">. </w:t>
      </w:r>
      <w:proofErr w:type="spellStart"/>
      <w:r w:rsidRPr="009D3B46">
        <w:rPr>
          <w:i/>
          <w:iCs/>
          <w:sz w:val="24"/>
          <w:szCs w:val="24"/>
          <w:highlight w:val="white"/>
          <w:lang w:val="es-CL"/>
        </w:rPr>
        <w:t>Version</w:t>
      </w:r>
      <w:proofErr w:type="spellEnd"/>
      <w:r w:rsidRPr="009D3B46">
        <w:rPr>
          <w:i/>
          <w:iCs/>
          <w:sz w:val="24"/>
          <w:szCs w:val="24"/>
          <w:highlight w:val="white"/>
          <w:lang w:val="es-CL"/>
        </w:rPr>
        <w:t xml:space="preserve"> 2025</w:t>
      </w:r>
      <w:r w:rsidRPr="009D3B46">
        <w:rPr>
          <w:sz w:val="24"/>
          <w:szCs w:val="24"/>
          <w:highlight w:val="white"/>
          <w:lang w:val="es-CL"/>
        </w:rPr>
        <w:t>.</w:t>
      </w:r>
    </w:p>
    <w:p w14:paraId="1AE402E0" w14:textId="77777777" w:rsidR="009D3B46" w:rsidRPr="009D3B46" w:rsidRDefault="009D3B46" w:rsidP="009D3B46">
      <w:pPr>
        <w:spacing w:after="240" w:line="480" w:lineRule="auto"/>
        <w:ind w:left="384"/>
        <w:rPr>
          <w:sz w:val="24"/>
          <w:szCs w:val="24"/>
          <w:highlight w:val="white"/>
          <w:lang w:val="es-CL"/>
        </w:rPr>
      </w:pPr>
      <w:r w:rsidRPr="009D3B46">
        <w:rPr>
          <w:b/>
          <w:bCs/>
          <w:sz w:val="24"/>
          <w:szCs w:val="24"/>
          <w:highlight w:val="white"/>
          <w:lang w:val="es-CL"/>
        </w:rPr>
        <w:t>7.</w:t>
      </w:r>
      <w:r w:rsidRPr="009D3B46">
        <w:rPr>
          <w:sz w:val="24"/>
          <w:szCs w:val="24"/>
          <w:highlight w:val="white"/>
          <w:lang w:val="es-CL"/>
        </w:rPr>
        <w:t xml:space="preserve"> </w:t>
      </w:r>
      <w:proofErr w:type="spellStart"/>
      <w:r w:rsidRPr="009D3B46">
        <w:rPr>
          <w:sz w:val="24"/>
          <w:szCs w:val="24"/>
          <w:highlight w:val="white"/>
          <w:lang w:val="es-CL"/>
        </w:rPr>
        <w:t>Gandaglia</w:t>
      </w:r>
      <w:proofErr w:type="spellEnd"/>
      <w:r w:rsidRPr="009D3B46">
        <w:rPr>
          <w:sz w:val="24"/>
          <w:szCs w:val="24"/>
          <w:highlight w:val="white"/>
          <w:lang w:val="es-CL"/>
        </w:rPr>
        <w:t xml:space="preserve"> G, Fossati N, </w:t>
      </w:r>
      <w:proofErr w:type="spellStart"/>
      <w:r w:rsidRPr="009D3B46">
        <w:rPr>
          <w:sz w:val="24"/>
          <w:szCs w:val="24"/>
          <w:highlight w:val="white"/>
          <w:lang w:val="es-CL"/>
        </w:rPr>
        <w:t>Zaffuto</w:t>
      </w:r>
      <w:proofErr w:type="spellEnd"/>
      <w:r w:rsidRPr="009D3B46">
        <w:rPr>
          <w:sz w:val="24"/>
          <w:szCs w:val="24"/>
          <w:highlight w:val="white"/>
          <w:lang w:val="es-CL"/>
        </w:rPr>
        <w:t xml:space="preserve"> E, </w:t>
      </w:r>
      <w:proofErr w:type="spellStart"/>
      <w:r w:rsidRPr="009D3B46">
        <w:rPr>
          <w:sz w:val="24"/>
          <w:szCs w:val="24"/>
          <w:highlight w:val="white"/>
          <w:lang w:val="es-CL"/>
        </w:rPr>
        <w:t>Bandini</w:t>
      </w:r>
      <w:proofErr w:type="spellEnd"/>
      <w:r w:rsidRPr="009D3B46">
        <w:rPr>
          <w:sz w:val="24"/>
          <w:szCs w:val="24"/>
          <w:highlight w:val="white"/>
          <w:lang w:val="es-CL"/>
        </w:rPr>
        <w:t xml:space="preserve"> M, </w:t>
      </w:r>
      <w:proofErr w:type="spellStart"/>
      <w:r w:rsidRPr="009D3B46">
        <w:rPr>
          <w:sz w:val="24"/>
          <w:szCs w:val="24"/>
          <w:highlight w:val="white"/>
          <w:lang w:val="es-CL"/>
        </w:rPr>
        <w:t>Dell’Oglio</w:t>
      </w:r>
      <w:proofErr w:type="spellEnd"/>
      <w:r w:rsidRPr="009D3B46">
        <w:rPr>
          <w:sz w:val="24"/>
          <w:szCs w:val="24"/>
          <w:highlight w:val="white"/>
          <w:lang w:val="es-CL"/>
        </w:rPr>
        <w:t xml:space="preserve"> P, </w:t>
      </w:r>
      <w:proofErr w:type="spellStart"/>
      <w:r w:rsidRPr="009D3B46">
        <w:rPr>
          <w:sz w:val="24"/>
          <w:szCs w:val="24"/>
          <w:highlight w:val="white"/>
          <w:lang w:val="es-CL"/>
        </w:rPr>
        <w:t>Bravi</w:t>
      </w:r>
      <w:proofErr w:type="spellEnd"/>
      <w:r w:rsidRPr="009D3B46">
        <w:rPr>
          <w:sz w:val="24"/>
          <w:szCs w:val="24"/>
          <w:highlight w:val="white"/>
          <w:lang w:val="es-CL"/>
        </w:rPr>
        <w:t xml:space="preserve"> CA, et al. </w:t>
      </w:r>
      <w:proofErr w:type="spellStart"/>
      <w:r w:rsidRPr="009D3B46">
        <w:rPr>
          <w:sz w:val="24"/>
          <w:szCs w:val="24"/>
          <w:highlight w:val="white"/>
          <w:lang w:val="es-CL"/>
        </w:rPr>
        <w:t>Development</w:t>
      </w:r>
      <w:proofErr w:type="spellEnd"/>
      <w:r w:rsidRPr="009D3B46">
        <w:rPr>
          <w:sz w:val="24"/>
          <w:szCs w:val="24"/>
          <w:highlight w:val="white"/>
          <w:lang w:val="es-CL"/>
        </w:rPr>
        <w:t xml:space="preserve"> and </w:t>
      </w:r>
      <w:proofErr w:type="spellStart"/>
      <w:r w:rsidRPr="009D3B46">
        <w:rPr>
          <w:sz w:val="24"/>
          <w:szCs w:val="24"/>
          <w:highlight w:val="white"/>
          <w:lang w:val="es-CL"/>
        </w:rPr>
        <w:t>internal</w:t>
      </w:r>
      <w:proofErr w:type="spellEnd"/>
      <w:r w:rsidRPr="009D3B46">
        <w:rPr>
          <w:sz w:val="24"/>
          <w:szCs w:val="24"/>
          <w:highlight w:val="white"/>
          <w:lang w:val="es-CL"/>
        </w:rPr>
        <w:t xml:space="preserve"> </w:t>
      </w:r>
      <w:proofErr w:type="spellStart"/>
      <w:r w:rsidRPr="009D3B46">
        <w:rPr>
          <w:sz w:val="24"/>
          <w:szCs w:val="24"/>
          <w:highlight w:val="white"/>
          <w:lang w:val="es-CL"/>
        </w:rPr>
        <w:t>validation</w:t>
      </w:r>
      <w:proofErr w:type="spellEnd"/>
      <w:r w:rsidRPr="009D3B46">
        <w:rPr>
          <w:sz w:val="24"/>
          <w:szCs w:val="24"/>
          <w:highlight w:val="white"/>
          <w:lang w:val="es-CL"/>
        </w:rPr>
        <w:t xml:space="preserve"> </w:t>
      </w:r>
      <w:proofErr w:type="spellStart"/>
      <w:r w:rsidRPr="009D3B46">
        <w:rPr>
          <w:sz w:val="24"/>
          <w:szCs w:val="24"/>
          <w:highlight w:val="white"/>
          <w:lang w:val="es-CL"/>
        </w:rPr>
        <w:t>of</w:t>
      </w:r>
      <w:proofErr w:type="spellEnd"/>
      <w:r w:rsidRPr="009D3B46">
        <w:rPr>
          <w:sz w:val="24"/>
          <w:szCs w:val="24"/>
          <w:highlight w:val="white"/>
          <w:lang w:val="es-CL"/>
        </w:rPr>
        <w:t xml:space="preserve"> a novel </w:t>
      </w:r>
      <w:proofErr w:type="spellStart"/>
      <w:r w:rsidRPr="009D3B46">
        <w:rPr>
          <w:sz w:val="24"/>
          <w:szCs w:val="24"/>
          <w:highlight w:val="white"/>
          <w:lang w:val="es-CL"/>
        </w:rPr>
        <w:t>model</w:t>
      </w:r>
      <w:proofErr w:type="spellEnd"/>
      <w:r w:rsidRPr="009D3B46">
        <w:rPr>
          <w:sz w:val="24"/>
          <w:szCs w:val="24"/>
          <w:highlight w:val="white"/>
          <w:lang w:val="es-CL"/>
        </w:rPr>
        <w:t xml:space="preserve"> </w:t>
      </w:r>
      <w:proofErr w:type="spellStart"/>
      <w:r w:rsidRPr="009D3B46">
        <w:rPr>
          <w:sz w:val="24"/>
          <w:szCs w:val="24"/>
          <w:highlight w:val="white"/>
          <w:lang w:val="es-CL"/>
        </w:rPr>
        <w:t>to</w:t>
      </w:r>
      <w:proofErr w:type="spellEnd"/>
      <w:r w:rsidRPr="009D3B46">
        <w:rPr>
          <w:sz w:val="24"/>
          <w:szCs w:val="24"/>
          <w:highlight w:val="white"/>
          <w:lang w:val="es-CL"/>
        </w:rPr>
        <w:t xml:space="preserve"> </w:t>
      </w:r>
      <w:proofErr w:type="spellStart"/>
      <w:r w:rsidRPr="009D3B46">
        <w:rPr>
          <w:sz w:val="24"/>
          <w:szCs w:val="24"/>
          <w:highlight w:val="white"/>
          <w:lang w:val="es-CL"/>
        </w:rPr>
        <w:t>identify</w:t>
      </w:r>
      <w:proofErr w:type="spellEnd"/>
      <w:r w:rsidRPr="009D3B46">
        <w:rPr>
          <w:sz w:val="24"/>
          <w:szCs w:val="24"/>
          <w:highlight w:val="white"/>
          <w:lang w:val="es-CL"/>
        </w:rPr>
        <w:t xml:space="preserve"> </w:t>
      </w:r>
      <w:proofErr w:type="spellStart"/>
      <w:r w:rsidRPr="009D3B46">
        <w:rPr>
          <w:sz w:val="24"/>
          <w:szCs w:val="24"/>
          <w:highlight w:val="white"/>
          <w:lang w:val="es-CL"/>
        </w:rPr>
        <w:t>the</w:t>
      </w:r>
      <w:proofErr w:type="spellEnd"/>
      <w:r w:rsidRPr="009D3B46">
        <w:rPr>
          <w:sz w:val="24"/>
          <w:szCs w:val="24"/>
          <w:highlight w:val="white"/>
          <w:lang w:val="es-CL"/>
        </w:rPr>
        <w:t xml:space="preserve"> candidates </w:t>
      </w:r>
      <w:proofErr w:type="spellStart"/>
      <w:r w:rsidRPr="009D3B46">
        <w:rPr>
          <w:sz w:val="24"/>
          <w:szCs w:val="24"/>
          <w:highlight w:val="white"/>
          <w:lang w:val="es-CL"/>
        </w:rPr>
        <w:t>for</w:t>
      </w:r>
      <w:proofErr w:type="spellEnd"/>
      <w:r w:rsidRPr="009D3B46">
        <w:rPr>
          <w:sz w:val="24"/>
          <w:szCs w:val="24"/>
          <w:highlight w:val="white"/>
          <w:lang w:val="es-CL"/>
        </w:rPr>
        <w:t xml:space="preserve"> extended </w:t>
      </w:r>
      <w:proofErr w:type="spellStart"/>
      <w:r w:rsidRPr="009D3B46">
        <w:rPr>
          <w:sz w:val="24"/>
          <w:szCs w:val="24"/>
          <w:highlight w:val="white"/>
          <w:lang w:val="es-CL"/>
        </w:rPr>
        <w:t>pelvic</w:t>
      </w:r>
      <w:proofErr w:type="spellEnd"/>
      <w:r w:rsidRPr="009D3B46">
        <w:rPr>
          <w:sz w:val="24"/>
          <w:szCs w:val="24"/>
          <w:highlight w:val="white"/>
          <w:lang w:val="es-CL"/>
        </w:rPr>
        <w:t xml:space="preserve"> </w:t>
      </w:r>
      <w:proofErr w:type="spellStart"/>
      <w:r w:rsidRPr="009D3B46">
        <w:rPr>
          <w:sz w:val="24"/>
          <w:szCs w:val="24"/>
          <w:highlight w:val="white"/>
          <w:lang w:val="es-CL"/>
        </w:rPr>
        <w:t>lymph</w:t>
      </w:r>
      <w:proofErr w:type="spellEnd"/>
      <w:r w:rsidRPr="009D3B46">
        <w:rPr>
          <w:sz w:val="24"/>
          <w:szCs w:val="24"/>
          <w:highlight w:val="white"/>
          <w:lang w:val="es-CL"/>
        </w:rPr>
        <w:t xml:space="preserve"> </w:t>
      </w:r>
      <w:proofErr w:type="spellStart"/>
      <w:r w:rsidRPr="009D3B46">
        <w:rPr>
          <w:sz w:val="24"/>
          <w:szCs w:val="24"/>
          <w:highlight w:val="white"/>
          <w:lang w:val="es-CL"/>
        </w:rPr>
        <w:t>node</w:t>
      </w:r>
      <w:proofErr w:type="spellEnd"/>
      <w:r w:rsidRPr="009D3B46">
        <w:rPr>
          <w:sz w:val="24"/>
          <w:szCs w:val="24"/>
          <w:highlight w:val="white"/>
          <w:lang w:val="es-CL"/>
        </w:rPr>
        <w:t xml:space="preserve"> </w:t>
      </w:r>
      <w:proofErr w:type="spellStart"/>
      <w:r w:rsidRPr="009D3B46">
        <w:rPr>
          <w:sz w:val="24"/>
          <w:szCs w:val="24"/>
          <w:highlight w:val="white"/>
          <w:lang w:val="es-CL"/>
        </w:rPr>
        <w:t>dissection</w:t>
      </w:r>
      <w:proofErr w:type="spellEnd"/>
      <w:r w:rsidRPr="009D3B46">
        <w:rPr>
          <w:sz w:val="24"/>
          <w:szCs w:val="24"/>
          <w:highlight w:val="white"/>
          <w:lang w:val="es-CL"/>
        </w:rPr>
        <w:t xml:space="preserve"> in </w:t>
      </w:r>
      <w:proofErr w:type="spellStart"/>
      <w:r w:rsidRPr="009D3B46">
        <w:rPr>
          <w:sz w:val="24"/>
          <w:szCs w:val="24"/>
          <w:highlight w:val="white"/>
          <w:lang w:val="es-CL"/>
        </w:rPr>
        <w:t>prostate</w:t>
      </w:r>
      <w:proofErr w:type="spellEnd"/>
      <w:r w:rsidRPr="009D3B46">
        <w:rPr>
          <w:sz w:val="24"/>
          <w:szCs w:val="24"/>
          <w:highlight w:val="white"/>
          <w:lang w:val="es-CL"/>
        </w:rPr>
        <w:t xml:space="preserve"> </w:t>
      </w:r>
      <w:proofErr w:type="spellStart"/>
      <w:r w:rsidRPr="009D3B46">
        <w:rPr>
          <w:sz w:val="24"/>
          <w:szCs w:val="24"/>
          <w:highlight w:val="white"/>
          <w:lang w:val="es-CL"/>
        </w:rPr>
        <w:t>cancer</w:t>
      </w:r>
      <w:proofErr w:type="spellEnd"/>
      <w:r w:rsidRPr="009D3B46">
        <w:rPr>
          <w:sz w:val="24"/>
          <w:szCs w:val="24"/>
          <w:highlight w:val="white"/>
          <w:lang w:val="es-CL"/>
        </w:rPr>
        <w:t xml:space="preserve">. </w:t>
      </w:r>
      <w:proofErr w:type="spellStart"/>
      <w:r w:rsidRPr="009D3B46">
        <w:rPr>
          <w:i/>
          <w:iCs/>
          <w:sz w:val="24"/>
          <w:szCs w:val="24"/>
          <w:highlight w:val="white"/>
          <w:lang w:val="es-CL"/>
        </w:rPr>
        <w:t>Eur</w:t>
      </w:r>
      <w:proofErr w:type="spellEnd"/>
      <w:r w:rsidRPr="009D3B46">
        <w:rPr>
          <w:i/>
          <w:iCs/>
          <w:sz w:val="24"/>
          <w:szCs w:val="24"/>
          <w:highlight w:val="white"/>
          <w:lang w:val="es-CL"/>
        </w:rPr>
        <w:t xml:space="preserve"> </w:t>
      </w:r>
      <w:proofErr w:type="spellStart"/>
      <w:r w:rsidRPr="009D3B46">
        <w:rPr>
          <w:i/>
          <w:iCs/>
          <w:sz w:val="24"/>
          <w:szCs w:val="24"/>
          <w:highlight w:val="white"/>
          <w:lang w:val="es-CL"/>
        </w:rPr>
        <w:t>Urol</w:t>
      </w:r>
      <w:proofErr w:type="spellEnd"/>
      <w:r w:rsidRPr="009D3B46">
        <w:rPr>
          <w:sz w:val="24"/>
          <w:szCs w:val="24"/>
          <w:highlight w:val="white"/>
          <w:lang w:val="es-CL"/>
        </w:rPr>
        <w:t>. 2017;72(4):632-40. doi:10.1016/j.eururo.2017.02.037.</w:t>
      </w:r>
    </w:p>
    <w:p w14:paraId="384EFA81" w14:textId="77777777" w:rsidR="009D3B46" w:rsidRPr="009D3B46" w:rsidRDefault="009D3B46" w:rsidP="009D3B46">
      <w:pPr>
        <w:spacing w:after="240" w:line="480" w:lineRule="auto"/>
        <w:ind w:left="384"/>
        <w:rPr>
          <w:sz w:val="24"/>
          <w:szCs w:val="24"/>
          <w:highlight w:val="white"/>
          <w:lang w:val="es-CL"/>
        </w:rPr>
      </w:pPr>
      <w:r w:rsidRPr="009D3B46">
        <w:rPr>
          <w:b/>
          <w:bCs/>
          <w:sz w:val="24"/>
          <w:szCs w:val="24"/>
          <w:highlight w:val="white"/>
          <w:lang w:val="es-CL"/>
        </w:rPr>
        <w:t>8.</w:t>
      </w:r>
      <w:r w:rsidRPr="009D3B46">
        <w:rPr>
          <w:sz w:val="24"/>
          <w:szCs w:val="24"/>
          <w:highlight w:val="white"/>
          <w:lang w:val="es-CL"/>
        </w:rPr>
        <w:t xml:space="preserve"> </w:t>
      </w:r>
      <w:proofErr w:type="spellStart"/>
      <w:r w:rsidRPr="009D3B46">
        <w:rPr>
          <w:sz w:val="24"/>
          <w:szCs w:val="24"/>
          <w:highlight w:val="white"/>
          <w:lang w:val="es-CL"/>
        </w:rPr>
        <w:t>Briganti</w:t>
      </w:r>
      <w:proofErr w:type="spellEnd"/>
      <w:r w:rsidRPr="009D3B46">
        <w:rPr>
          <w:sz w:val="24"/>
          <w:szCs w:val="24"/>
          <w:highlight w:val="white"/>
          <w:lang w:val="es-CL"/>
        </w:rPr>
        <w:t xml:space="preserve"> A, </w:t>
      </w:r>
      <w:proofErr w:type="spellStart"/>
      <w:r w:rsidRPr="009D3B46">
        <w:rPr>
          <w:sz w:val="24"/>
          <w:szCs w:val="24"/>
          <w:highlight w:val="white"/>
          <w:lang w:val="es-CL"/>
        </w:rPr>
        <w:t>Larcher</w:t>
      </w:r>
      <w:proofErr w:type="spellEnd"/>
      <w:r w:rsidRPr="009D3B46">
        <w:rPr>
          <w:sz w:val="24"/>
          <w:szCs w:val="24"/>
          <w:highlight w:val="white"/>
          <w:lang w:val="es-CL"/>
        </w:rPr>
        <w:t xml:space="preserve"> A, </w:t>
      </w:r>
      <w:proofErr w:type="spellStart"/>
      <w:r w:rsidRPr="009D3B46">
        <w:rPr>
          <w:sz w:val="24"/>
          <w:szCs w:val="24"/>
          <w:highlight w:val="white"/>
          <w:lang w:val="es-CL"/>
        </w:rPr>
        <w:t>Abdollah</w:t>
      </w:r>
      <w:proofErr w:type="spellEnd"/>
      <w:r w:rsidRPr="009D3B46">
        <w:rPr>
          <w:sz w:val="24"/>
          <w:szCs w:val="24"/>
          <w:highlight w:val="white"/>
          <w:lang w:val="es-CL"/>
        </w:rPr>
        <w:t xml:space="preserve"> F, </w:t>
      </w:r>
      <w:proofErr w:type="spellStart"/>
      <w:r w:rsidRPr="009D3B46">
        <w:rPr>
          <w:sz w:val="24"/>
          <w:szCs w:val="24"/>
          <w:highlight w:val="white"/>
          <w:lang w:val="es-CL"/>
        </w:rPr>
        <w:t>Capitanio</w:t>
      </w:r>
      <w:proofErr w:type="spellEnd"/>
      <w:r w:rsidRPr="009D3B46">
        <w:rPr>
          <w:sz w:val="24"/>
          <w:szCs w:val="24"/>
          <w:highlight w:val="white"/>
          <w:lang w:val="es-CL"/>
        </w:rPr>
        <w:t xml:space="preserve"> U, Gallina A, </w:t>
      </w:r>
      <w:proofErr w:type="spellStart"/>
      <w:r w:rsidRPr="009D3B46">
        <w:rPr>
          <w:sz w:val="24"/>
          <w:szCs w:val="24"/>
          <w:highlight w:val="white"/>
          <w:lang w:val="es-CL"/>
        </w:rPr>
        <w:t>Suardi</w:t>
      </w:r>
      <w:proofErr w:type="spellEnd"/>
      <w:r w:rsidRPr="009D3B46">
        <w:rPr>
          <w:sz w:val="24"/>
          <w:szCs w:val="24"/>
          <w:highlight w:val="white"/>
          <w:lang w:val="es-CL"/>
        </w:rPr>
        <w:t xml:space="preserve"> N, et al. </w:t>
      </w:r>
      <w:proofErr w:type="spellStart"/>
      <w:r w:rsidRPr="009D3B46">
        <w:rPr>
          <w:sz w:val="24"/>
          <w:szCs w:val="24"/>
          <w:highlight w:val="white"/>
          <w:lang w:val="es-CL"/>
        </w:rPr>
        <w:t>Updated</w:t>
      </w:r>
      <w:proofErr w:type="spellEnd"/>
      <w:r w:rsidRPr="009D3B46">
        <w:rPr>
          <w:sz w:val="24"/>
          <w:szCs w:val="24"/>
          <w:highlight w:val="white"/>
          <w:lang w:val="es-CL"/>
        </w:rPr>
        <w:t xml:space="preserve"> </w:t>
      </w:r>
      <w:proofErr w:type="spellStart"/>
      <w:r w:rsidRPr="009D3B46">
        <w:rPr>
          <w:sz w:val="24"/>
          <w:szCs w:val="24"/>
          <w:highlight w:val="white"/>
          <w:lang w:val="es-CL"/>
        </w:rPr>
        <w:t>nomogram</w:t>
      </w:r>
      <w:proofErr w:type="spellEnd"/>
      <w:r w:rsidRPr="009D3B46">
        <w:rPr>
          <w:sz w:val="24"/>
          <w:szCs w:val="24"/>
          <w:highlight w:val="white"/>
          <w:lang w:val="es-CL"/>
        </w:rPr>
        <w:t xml:space="preserve"> </w:t>
      </w:r>
      <w:proofErr w:type="spellStart"/>
      <w:r w:rsidRPr="009D3B46">
        <w:rPr>
          <w:sz w:val="24"/>
          <w:szCs w:val="24"/>
          <w:highlight w:val="white"/>
          <w:lang w:val="es-CL"/>
        </w:rPr>
        <w:t>predicting</w:t>
      </w:r>
      <w:proofErr w:type="spellEnd"/>
      <w:r w:rsidRPr="009D3B46">
        <w:rPr>
          <w:sz w:val="24"/>
          <w:szCs w:val="24"/>
          <w:highlight w:val="white"/>
          <w:lang w:val="es-CL"/>
        </w:rPr>
        <w:t xml:space="preserve"> </w:t>
      </w:r>
      <w:proofErr w:type="spellStart"/>
      <w:r w:rsidRPr="009D3B46">
        <w:rPr>
          <w:sz w:val="24"/>
          <w:szCs w:val="24"/>
          <w:highlight w:val="white"/>
          <w:lang w:val="es-CL"/>
        </w:rPr>
        <w:t>lymph</w:t>
      </w:r>
      <w:proofErr w:type="spellEnd"/>
      <w:r w:rsidRPr="009D3B46">
        <w:rPr>
          <w:sz w:val="24"/>
          <w:szCs w:val="24"/>
          <w:highlight w:val="white"/>
          <w:lang w:val="es-CL"/>
        </w:rPr>
        <w:t xml:space="preserve"> </w:t>
      </w:r>
      <w:proofErr w:type="spellStart"/>
      <w:r w:rsidRPr="009D3B46">
        <w:rPr>
          <w:sz w:val="24"/>
          <w:szCs w:val="24"/>
          <w:highlight w:val="white"/>
          <w:lang w:val="es-CL"/>
        </w:rPr>
        <w:t>node</w:t>
      </w:r>
      <w:proofErr w:type="spellEnd"/>
      <w:r w:rsidRPr="009D3B46">
        <w:rPr>
          <w:sz w:val="24"/>
          <w:szCs w:val="24"/>
          <w:highlight w:val="white"/>
          <w:lang w:val="es-CL"/>
        </w:rPr>
        <w:t xml:space="preserve"> </w:t>
      </w:r>
      <w:proofErr w:type="spellStart"/>
      <w:r w:rsidRPr="009D3B46">
        <w:rPr>
          <w:sz w:val="24"/>
          <w:szCs w:val="24"/>
          <w:highlight w:val="white"/>
          <w:lang w:val="es-CL"/>
        </w:rPr>
        <w:t>invasion</w:t>
      </w:r>
      <w:proofErr w:type="spellEnd"/>
      <w:r w:rsidRPr="009D3B46">
        <w:rPr>
          <w:sz w:val="24"/>
          <w:szCs w:val="24"/>
          <w:highlight w:val="white"/>
          <w:lang w:val="es-CL"/>
        </w:rPr>
        <w:t xml:space="preserve"> in </w:t>
      </w:r>
      <w:proofErr w:type="spellStart"/>
      <w:r w:rsidRPr="009D3B46">
        <w:rPr>
          <w:sz w:val="24"/>
          <w:szCs w:val="24"/>
          <w:highlight w:val="white"/>
          <w:lang w:val="es-CL"/>
        </w:rPr>
        <w:t>patients</w:t>
      </w:r>
      <w:proofErr w:type="spellEnd"/>
      <w:r w:rsidRPr="009D3B46">
        <w:rPr>
          <w:sz w:val="24"/>
          <w:szCs w:val="24"/>
          <w:highlight w:val="white"/>
          <w:lang w:val="es-CL"/>
        </w:rPr>
        <w:t xml:space="preserve"> </w:t>
      </w:r>
      <w:proofErr w:type="spellStart"/>
      <w:r w:rsidRPr="009D3B46">
        <w:rPr>
          <w:sz w:val="24"/>
          <w:szCs w:val="24"/>
          <w:highlight w:val="white"/>
          <w:lang w:val="es-CL"/>
        </w:rPr>
        <w:t>with</w:t>
      </w:r>
      <w:proofErr w:type="spellEnd"/>
      <w:r w:rsidRPr="009D3B46">
        <w:rPr>
          <w:sz w:val="24"/>
          <w:szCs w:val="24"/>
          <w:highlight w:val="white"/>
          <w:lang w:val="es-CL"/>
        </w:rPr>
        <w:t xml:space="preserve"> </w:t>
      </w:r>
      <w:proofErr w:type="spellStart"/>
      <w:r w:rsidRPr="009D3B46">
        <w:rPr>
          <w:sz w:val="24"/>
          <w:szCs w:val="24"/>
          <w:highlight w:val="white"/>
          <w:lang w:val="es-CL"/>
        </w:rPr>
        <w:t>prostate</w:t>
      </w:r>
      <w:proofErr w:type="spellEnd"/>
      <w:r w:rsidRPr="009D3B46">
        <w:rPr>
          <w:sz w:val="24"/>
          <w:szCs w:val="24"/>
          <w:highlight w:val="white"/>
          <w:lang w:val="es-CL"/>
        </w:rPr>
        <w:t xml:space="preserve"> </w:t>
      </w:r>
      <w:proofErr w:type="spellStart"/>
      <w:r w:rsidRPr="009D3B46">
        <w:rPr>
          <w:sz w:val="24"/>
          <w:szCs w:val="24"/>
          <w:highlight w:val="white"/>
          <w:lang w:val="es-CL"/>
        </w:rPr>
        <w:t>cancer</w:t>
      </w:r>
      <w:proofErr w:type="spellEnd"/>
      <w:r w:rsidRPr="009D3B46">
        <w:rPr>
          <w:sz w:val="24"/>
          <w:szCs w:val="24"/>
          <w:highlight w:val="white"/>
          <w:lang w:val="es-CL"/>
        </w:rPr>
        <w:t xml:space="preserve"> </w:t>
      </w:r>
      <w:proofErr w:type="spellStart"/>
      <w:r w:rsidRPr="009D3B46">
        <w:rPr>
          <w:sz w:val="24"/>
          <w:szCs w:val="24"/>
          <w:highlight w:val="white"/>
          <w:lang w:val="es-CL"/>
        </w:rPr>
        <w:t>undergoing</w:t>
      </w:r>
      <w:proofErr w:type="spellEnd"/>
      <w:r w:rsidRPr="009D3B46">
        <w:rPr>
          <w:sz w:val="24"/>
          <w:szCs w:val="24"/>
          <w:highlight w:val="white"/>
          <w:lang w:val="es-CL"/>
        </w:rPr>
        <w:t xml:space="preserve"> extended </w:t>
      </w:r>
      <w:proofErr w:type="spellStart"/>
      <w:r w:rsidRPr="009D3B46">
        <w:rPr>
          <w:sz w:val="24"/>
          <w:szCs w:val="24"/>
          <w:highlight w:val="white"/>
          <w:lang w:val="es-CL"/>
        </w:rPr>
        <w:t>pelvic</w:t>
      </w:r>
      <w:proofErr w:type="spellEnd"/>
      <w:r w:rsidRPr="009D3B46">
        <w:rPr>
          <w:sz w:val="24"/>
          <w:szCs w:val="24"/>
          <w:highlight w:val="white"/>
          <w:lang w:val="es-CL"/>
        </w:rPr>
        <w:t xml:space="preserve"> </w:t>
      </w:r>
      <w:proofErr w:type="spellStart"/>
      <w:r w:rsidRPr="009D3B46">
        <w:rPr>
          <w:sz w:val="24"/>
          <w:szCs w:val="24"/>
          <w:highlight w:val="white"/>
          <w:lang w:val="es-CL"/>
        </w:rPr>
        <w:t>lymph</w:t>
      </w:r>
      <w:proofErr w:type="spellEnd"/>
      <w:r w:rsidRPr="009D3B46">
        <w:rPr>
          <w:sz w:val="24"/>
          <w:szCs w:val="24"/>
          <w:highlight w:val="white"/>
          <w:lang w:val="es-CL"/>
        </w:rPr>
        <w:t xml:space="preserve"> </w:t>
      </w:r>
      <w:proofErr w:type="spellStart"/>
      <w:r w:rsidRPr="009D3B46">
        <w:rPr>
          <w:sz w:val="24"/>
          <w:szCs w:val="24"/>
          <w:highlight w:val="white"/>
          <w:lang w:val="es-CL"/>
        </w:rPr>
        <w:t>node</w:t>
      </w:r>
      <w:proofErr w:type="spellEnd"/>
      <w:r w:rsidRPr="009D3B46">
        <w:rPr>
          <w:sz w:val="24"/>
          <w:szCs w:val="24"/>
          <w:highlight w:val="white"/>
          <w:lang w:val="es-CL"/>
        </w:rPr>
        <w:t xml:space="preserve"> </w:t>
      </w:r>
      <w:proofErr w:type="spellStart"/>
      <w:r w:rsidRPr="009D3B46">
        <w:rPr>
          <w:sz w:val="24"/>
          <w:szCs w:val="24"/>
          <w:highlight w:val="white"/>
          <w:lang w:val="es-CL"/>
        </w:rPr>
        <w:t>dissection</w:t>
      </w:r>
      <w:proofErr w:type="spellEnd"/>
      <w:r w:rsidRPr="009D3B46">
        <w:rPr>
          <w:sz w:val="24"/>
          <w:szCs w:val="24"/>
          <w:highlight w:val="white"/>
          <w:lang w:val="es-CL"/>
        </w:rPr>
        <w:t xml:space="preserve">: </w:t>
      </w:r>
      <w:proofErr w:type="spellStart"/>
      <w:r w:rsidRPr="009D3B46">
        <w:rPr>
          <w:sz w:val="24"/>
          <w:szCs w:val="24"/>
          <w:highlight w:val="white"/>
          <w:lang w:val="es-CL"/>
        </w:rPr>
        <w:t>the</w:t>
      </w:r>
      <w:proofErr w:type="spellEnd"/>
      <w:r w:rsidRPr="009D3B46">
        <w:rPr>
          <w:sz w:val="24"/>
          <w:szCs w:val="24"/>
          <w:highlight w:val="white"/>
          <w:lang w:val="es-CL"/>
        </w:rPr>
        <w:t xml:space="preserve"> </w:t>
      </w:r>
      <w:proofErr w:type="spellStart"/>
      <w:r w:rsidRPr="009D3B46">
        <w:rPr>
          <w:sz w:val="24"/>
          <w:szCs w:val="24"/>
          <w:highlight w:val="white"/>
          <w:lang w:val="es-CL"/>
        </w:rPr>
        <w:t>essential</w:t>
      </w:r>
      <w:proofErr w:type="spellEnd"/>
      <w:r w:rsidRPr="009D3B46">
        <w:rPr>
          <w:sz w:val="24"/>
          <w:szCs w:val="24"/>
          <w:highlight w:val="white"/>
          <w:lang w:val="es-CL"/>
        </w:rPr>
        <w:t xml:space="preserve"> </w:t>
      </w:r>
      <w:proofErr w:type="spellStart"/>
      <w:r w:rsidRPr="009D3B46">
        <w:rPr>
          <w:sz w:val="24"/>
          <w:szCs w:val="24"/>
          <w:highlight w:val="white"/>
          <w:lang w:val="es-CL"/>
        </w:rPr>
        <w:t>importance</w:t>
      </w:r>
      <w:proofErr w:type="spellEnd"/>
      <w:r w:rsidRPr="009D3B46">
        <w:rPr>
          <w:sz w:val="24"/>
          <w:szCs w:val="24"/>
          <w:highlight w:val="white"/>
          <w:lang w:val="es-CL"/>
        </w:rPr>
        <w:t xml:space="preserve"> </w:t>
      </w:r>
      <w:proofErr w:type="spellStart"/>
      <w:r w:rsidRPr="009D3B46">
        <w:rPr>
          <w:sz w:val="24"/>
          <w:szCs w:val="24"/>
          <w:highlight w:val="white"/>
          <w:lang w:val="es-CL"/>
        </w:rPr>
        <w:t>of</w:t>
      </w:r>
      <w:proofErr w:type="spellEnd"/>
      <w:r w:rsidRPr="009D3B46">
        <w:rPr>
          <w:sz w:val="24"/>
          <w:szCs w:val="24"/>
          <w:highlight w:val="white"/>
          <w:lang w:val="es-CL"/>
        </w:rPr>
        <w:t xml:space="preserve"> </w:t>
      </w:r>
      <w:proofErr w:type="spellStart"/>
      <w:r w:rsidRPr="009D3B46">
        <w:rPr>
          <w:sz w:val="24"/>
          <w:szCs w:val="24"/>
          <w:highlight w:val="white"/>
          <w:lang w:val="es-CL"/>
        </w:rPr>
        <w:t>percentage</w:t>
      </w:r>
      <w:proofErr w:type="spellEnd"/>
      <w:r w:rsidRPr="009D3B46">
        <w:rPr>
          <w:sz w:val="24"/>
          <w:szCs w:val="24"/>
          <w:highlight w:val="white"/>
          <w:lang w:val="es-CL"/>
        </w:rPr>
        <w:t xml:space="preserve"> </w:t>
      </w:r>
      <w:proofErr w:type="spellStart"/>
      <w:r w:rsidRPr="009D3B46">
        <w:rPr>
          <w:sz w:val="24"/>
          <w:szCs w:val="24"/>
          <w:highlight w:val="white"/>
          <w:lang w:val="es-CL"/>
        </w:rPr>
        <w:t>of</w:t>
      </w:r>
      <w:proofErr w:type="spellEnd"/>
      <w:r w:rsidRPr="009D3B46">
        <w:rPr>
          <w:sz w:val="24"/>
          <w:szCs w:val="24"/>
          <w:highlight w:val="white"/>
          <w:lang w:val="es-CL"/>
        </w:rPr>
        <w:t xml:space="preserve"> positive </w:t>
      </w:r>
      <w:proofErr w:type="spellStart"/>
      <w:r w:rsidRPr="009D3B46">
        <w:rPr>
          <w:sz w:val="24"/>
          <w:szCs w:val="24"/>
          <w:highlight w:val="white"/>
          <w:lang w:val="es-CL"/>
        </w:rPr>
        <w:t>cores</w:t>
      </w:r>
      <w:proofErr w:type="spellEnd"/>
      <w:r w:rsidRPr="009D3B46">
        <w:rPr>
          <w:sz w:val="24"/>
          <w:szCs w:val="24"/>
          <w:highlight w:val="white"/>
          <w:lang w:val="es-CL"/>
        </w:rPr>
        <w:t xml:space="preserve">. </w:t>
      </w:r>
      <w:proofErr w:type="spellStart"/>
      <w:r w:rsidRPr="009D3B46">
        <w:rPr>
          <w:i/>
          <w:iCs/>
          <w:sz w:val="24"/>
          <w:szCs w:val="24"/>
          <w:highlight w:val="white"/>
          <w:lang w:val="es-CL"/>
        </w:rPr>
        <w:t>Eur</w:t>
      </w:r>
      <w:proofErr w:type="spellEnd"/>
      <w:r w:rsidRPr="009D3B46">
        <w:rPr>
          <w:i/>
          <w:iCs/>
          <w:sz w:val="24"/>
          <w:szCs w:val="24"/>
          <w:highlight w:val="white"/>
          <w:lang w:val="es-CL"/>
        </w:rPr>
        <w:t xml:space="preserve"> </w:t>
      </w:r>
      <w:proofErr w:type="spellStart"/>
      <w:r w:rsidRPr="009D3B46">
        <w:rPr>
          <w:i/>
          <w:iCs/>
          <w:sz w:val="24"/>
          <w:szCs w:val="24"/>
          <w:highlight w:val="white"/>
          <w:lang w:val="es-CL"/>
        </w:rPr>
        <w:t>Urol</w:t>
      </w:r>
      <w:proofErr w:type="spellEnd"/>
      <w:r w:rsidRPr="009D3B46">
        <w:rPr>
          <w:sz w:val="24"/>
          <w:szCs w:val="24"/>
          <w:highlight w:val="white"/>
          <w:lang w:val="es-CL"/>
        </w:rPr>
        <w:t>. 2012;61(3):480-7. doi:10.1016/j.eururo.2011.10.044.</w:t>
      </w:r>
    </w:p>
    <w:p w14:paraId="48ED0A5E" w14:textId="77777777" w:rsidR="009D3B46" w:rsidRPr="009D3B46" w:rsidRDefault="009D3B46" w:rsidP="009D3B46">
      <w:pPr>
        <w:spacing w:after="240" w:line="480" w:lineRule="auto"/>
        <w:ind w:left="384"/>
        <w:rPr>
          <w:sz w:val="24"/>
          <w:szCs w:val="24"/>
          <w:highlight w:val="white"/>
          <w:lang w:val="es-CL"/>
        </w:rPr>
      </w:pPr>
      <w:r w:rsidRPr="009D3B46">
        <w:rPr>
          <w:b/>
          <w:bCs/>
          <w:sz w:val="24"/>
          <w:szCs w:val="24"/>
          <w:highlight w:val="white"/>
          <w:lang w:val="es-CL"/>
        </w:rPr>
        <w:t>9.</w:t>
      </w:r>
      <w:r w:rsidRPr="009D3B46">
        <w:rPr>
          <w:sz w:val="24"/>
          <w:szCs w:val="24"/>
          <w:highlight w:val="white"/>
          <w:lang w:val="es-CL"/>
        </w:rPr>
        <w:t xml:space="preserve"> </w:t>
      </w:r>
      <w:proofErr w:type="spellStart"/>
      <w:r w:rsidRPr="009D3B46">
        <w:rPr>
          <w:sz w:val="24"/>
          <w:szCs w:val="24"/>
          <w:highlight w:val="white"/>
          <w:lang w:val="es-CL"/>
        </w:rPr>
        <w:t>Gandaglia</w:t>
      </w:r>
      <w:proofErr w:type="spellEnd"/>
      <w:r w:rsidRPr="009D3B46">
        <w:rPr>
          <w:sz w:val="24"/>
          <w:szCs w:val="24"/>
          <w:highlight w:val="white"/>
          <w:lang w:val="es-CL"/>
        </w:rPr>
        <w:t xml:space="preserve"> G, Martini A, </w:t>
      </w:r>
      <w:proofErr w:type="spellStart"/>
      <w:r w:rsidRPr="009D3B46">
        <w:rPr>
          <w:sz w:val="24"/>
          <w:szCs w:val="24"/>
          <w:highlight w:val="white"/>
          <w:lang w:val="es-CL"/>
        </w:rPr>
        <w:t>Ploussard</w:t>
      </w:r>
      <w:proofErr w:type="spellEnd"/>
      <w:r w:rsidRPr="009D3B46">
        <w:rPr>
          <w:sz w:val="24"/>
          <w:szCs w:val="24"/>
          <w:highlight w:val="white"/>
          <w:lang w:val="es-CL"/>
        </w:rPr>
        <w:t xml:space="preserve"> G, Fossati N, </w:t>
      </w:r>
      <w:proofErr w:type="spellStart"/>
      <w:r w:rsidRPr="009D3B46">
        <w:rPr>
          <w:sz w:val="24"/>
          <w:szCs w:val="24"/>
          <w:highlight w:val="white"/>
          <w:lang w:val="es-CL"/>
        </w:rPr>
        <w:t>Stabile</w:t>
      </w:r>
      <w:proofErr w:type="spellEnd"/>
      <w:r w:rsidRPr="009D3B46">
        <w:rPr>
          <w:sz w:val="24"/>
          <w:szCs w:val="24"/>
          <w:highlight w:val="white"/>
          <w:lang w:val="es-CL"/>
        </w:rPr>
        <w:t xml:space="preserve"> A, De </w:t>
      </w:r>
      <w:proofErr w:type="spellStart"/>
      <w:r w:rsidRPr="009D3B46">
        <w:rPr>
          <w:sz w:val="24"/>
          <w:szCs w:val="24"/>
          <w:highlight w:val="white"/>
          <w:lang w:val="es-CL"/>
        </w:rPr>
        <w:t>Visschere</w:t>
      </w:r>
      <w:proofErr w:type="spellEnd"/>
      <w:r w:rsidRPr="009D3B46">
        <w:rPr>
          <w:sz w:val="24"/>
          <w:szCs w:val="24"/>
          <w:highlight w:val="white"/>
          <w:lang w:val="es-CL"/>
        </w:rPr>
        <w:t xml:space="preserve"> P, et al. </w:t>
      </w:r>
      <w:proofErr w:type="spellStart"/>
      <w:r w:rsidRPr="009D3B46">
        <w:rPr>
          <w:sz w:val="24"/>
          <w:szCs w:val="24"/>
          <w:highlight w:val="white"/>
          <w:lang w:val="es-CL"/>
        </w:rPr>
        <w:t>External</w:t>
      </w:r>
      <w:proofErr w:type="spellEnd"/>
      <w:r w:rsidRPr="009D3B46">
        <w:rPr>
          <w:sz w:val="24"/>
          <w:szCs w:val="24"/>
          <w:highlight w:val="white"/>
          <w:lang w:val="es-CL"/>
        </w:rPr>
        <w:t xml:space="preserve"> </w:t>
      </w:r>
      <w:proofErr w:type="spellStart"/>
      <w:r w:rsidRPr="009D3B46">
        <w:rPr>
          <w:sz w:val="24"/>
          <w:szCs w:val="24"/>
          <w:highlight w:val="white"/>
          <w:lang w:val="es-CL"/>
        </w:rPr>
        <w:t>validation</w:t>
      </w:r>
      <w:proofErr w:type="spellEnd"/>
      <w:r w:rsidRPr="009D3B46">
        <w:rPr>
          <w:sz w:val="24"/>
          <w:szCs w:val="24"/>
          <w:highlight w:val="white"/>
          <w:lang w:val="es-CL"/>
        </w:rPr>
        <w:t xml:space="preserve"> </w:t>
      </w:r>
      <w:proofErr w:type="spellStart"/>
      <w:r w:rsidRPr="009D3B46">
        <w:rPr>
          <w:sz w:val="24"/>
          <w:szCs w:val="24"/>
          <w:highlight w:val="white"/>
          <w:lang w:val="es-CL"/>
        </w:rPr>
        <w:t>of</w:t>
      </w:r>
      <w:proofErr w:type="spellEnd"/>
      <w:r w:rsidRPr="009D3B46">
        <w:rPr>
          <w:sz w:val="24"/>
          <w:szCs w:val="24"/>
          <w:highlight w:val="white"/>
          <w:lang w:val="es-CL"/>
        </w:rPr>
        <w:t xml:space="preserve"> </w:t>
      </w:r>
      <w:proofErr w:type="spellStart"/>
      <w:r w:rsidRPr="009D3B46">
        <w:rPr>
          <w:sz w:val="24"/>
          <w:szCs w:val="24"/>
          <w:highlight w:val="white"/>
          <w:lang w:val="es-CL"/>
        </w:rPr>
        <w:t>the</w:t>
      </w:r>
      <w:proofErr w:type="spellEnd"/>
      <w:r w:rsidRPr="009D3B46">
        <w:rPr>
          <w:sz w:val="24"/>
          <w:szCs w:val="24"/>
          <w:highlight w:val="white"/>
          <w:lang w:val="es-CL"/>
        </w:rPr>
        <w:t xml:space="preserve"> 2019 </w:t>
      </w:r>
      <w:proofErr w:type="spellStart"/>
      <w:r w:rsidRPr="009D3B46">
        <w:rPr>
          <w:sz w:val="24"/>
          <w:szCs w:val="24"/>
          <w:highlight w:val="white"/>
          <w:lang w:val="es-CL"/>
        </w:rPr>
        <w:t>Briganti</w:t>
      </w:r>
      <w:proofErr w:type="spellEnd"/>
      <w:r w:rsidRPr="009D3B46">
        <w:rPr>
          <w:sz w:val="24"/>
          <w:szCs w:val="24"/>
          <w:highlight w:val="white"/>
          <w:lang w:val="es-CL"/>
        </w:rPr>
        <w:t xml:space="preserve"> </w:t>
      </w:r>
      <w:proofErr w:type="spellStart"/>
      <w:r w:rsidRPr="009D3B46">
        <w:rPr>
          <w:sz w:val="24"/>
          <w:szCs w:val="24"/>
          <w:highlight w:val="white"/>
          <w:lang w:val="es-CL"/>
        </w:rPr>
        <w:t>nomogram</w:t>
      </w:r>
      <w:proofErr w:type="spellEnd"/>
      <w:r w:rsidRPr="009D3B46">
        <w:rPr>
          <w:sz w:val="24"/>
          <w:szCs w:val="24"/>
          <w:highlight w:val="white"/>
          <w:lang w:val="es-CL"/>
        </w:rPr>
        <w:t xml:space="preserve"> </w:t>
      </w:r>
      <w:proofErr w:type="spellStart"/>
      <w:r w:rsidRPr="009D3B46">
        <w:rPr>
          <w:sz w:val="24"/>
          <w:szCs w:val="24"/>
          <w:highlight w:val="white"/>
          <w:lang w:val="es-CL"/>
        </w:rPr>
        <w:t>for</w:t>
      </w:r>
      <w:proofErr w:type="spellEnd"/>
      <w:r w:rsidRPr="009D3B46">
        <w:rPr>
          <w:sz w:val="24"/>
          <w:szCs w:val="24"/>
          <w:highlight w:val="white"/>
          <w:lang w:val="es-CL"/>
        </w:rPr>
        <w:t xml:space="preserve"> </w:t>
      </w:r>
      <w:proofErr w:type="spellStart"/>
      <w:r w:rsidRPr="009D3B46">
        <w:rPr>
          <w:sz w:val="24"/>
          <w:szCs w:val="24"/>
          <w:highlight w:val="white"/>
          <w:lang w:val="es-CL"/>
        </w:rPr>
        <w:t>the</w:t>
      </w:r>
      <w:proofErr w:type="spellEnd"/>
      <w:r w:rsidRPr="009D3B46">
        <w:rPr>
          <w:sz w:val="24"/>
          <w:szCs w:val="24"/>
          <w:highlight w:val="white"/>
          <w:lang w:val="es-CL"/>
        </w:rPr>
        <w:t xml:space="preserve"> </w:t>
      </w:r>
      <w:proofErr w:type="spellStart"/>
      <w:r w:rsidRPr="009D3B46">
        <w:rPr>
          <w:sz w:val="24"/>
          <w:szCs w:val="24"/>
          <w:highlight w:val="white"/>
          <w:lang w:val="es-CL"/>
        </w:rPr>
        <w:t>identification</w:t>
      </w:r>
      <w:proofErr w:type="spellEnd"/>
      <w:r w:rsidRPr="009D3B46">
        <w:rPr>
          <w:sz w:val="24"/>
          <w:szCs w:val="24"/>
          <w:highlight w:val="white"/>
          <w:lang w:val="es-CL"/>
        </w:rPr>
        <w:t xml:space="preserve"> </w:t>
      </w:r>
      <w:proofErr w:type="spellStart"/>
      <w:r w:rsidRPr="009D3B46">
        <w:rPr>
          <w:sz w:val="24"/>
          <w:szCs w:val="24"/>
          <w:highlight w:val="white"/>
          <w:lang w:val="es-CL"/>
        </w:rPr>
        <w:t>of</w:t>
      </w:r>
      <w:proofErr w:type="spellEnd"/>
      <w:r w:rsidRPr="009D3B46">
        <w:rPr>
          <w:sz w:val="24"/>
          <w:szCs w:val="24"/>
          <w:highlight w:val="white"/>
          <w:lang w:val="es-CL"/>
        </w:rPr>
        <w:t xml:space="preserve"> </w:t>
      </w:r>
      <w:proofErr w:type="spellStart"/>
      <w:r w:rsidRPr="009D3B46">
        <w:rPr>
          <w:sz w:val="24"/>
          <w:szCs w:val="24"/>
          <w:highlight w:val="white"/>
          <w:lang w:val="es-CL"/>
        </w:rPr>
        <w:t>prostate</w:t>
      </w:r>
      <w:proofErr w:type="spellEnd"/>
      <w:r w:rsidRPr="009D3B46">
        <w:rPr>
          <w:sz w:val="24"/>
          <w:szCs w:val="24"/>
          <w:highlight w:val="white"/>
          <w:lang w:val="es-CL"/>
        </w:rPr>
        <w:t xml:space="preserve"> </w:t>
      </w:r>
      <w:proofErr w:type="spellStart"/>
      <w:r w:rsidRPr="009D3B46">
        <w:rPr>
          <w:sz w:val="24"/>
          <w:szCs w:val="24"/>
          <w:highlight w:val="white"/>
          <w:lang w:val="es-CL"/>
        </w:rPr>
        <w:t>cancer</w:t>
      </w:r>
      <w:proofErr w:type="spellEnd"/>
      <w:r w:rsidRPr="009D3B46">
        <w:rPr>
          <w:sz w:val="24"/>
          <w:szCs w:val="24"/>
          <w:highlight w:val="white"/>
          <w:lang w:val="es-CL"/>
        </w:rPr>
        <w:t xml:space="preserve"> </w:t>
      </w:r>
      <w:proofErr w:type="spellStart"/>
      <w:r w:rsidRPr="009D3B46">
        <w:rPr>
          <w:sz w:val="24"/>
          <w:szCs w:val="24"/>
          <w:highlight w:val="white"/>
          <w:lang w:val="es-CL"/>
        </w:rPr>
        <w:t>patients</w:t>
      </w:r>
      <w:proofErr w:type="spellEnd"/>
      <w:r w:rsidRPr="009D3B46">
        <w:rPr>
          <w:sz w:val="24"/>
          <w:szCs w:val="24"/>
          <w:highlight w:val="white"/>
          <w:lang w:val="es-CL"/>
        </w:rPr>
        <w:t xml:space="preserve"> </w:t>
      </w:r>
      <w:proofErr w:type="spellStart"/>
      <w:r w:rsidRPr="009D3B46">
        <w:rPr>
          <w:sz w:val="24"/>
          <w:szCs w:val="24"/>
          <w:highlight w:val="white"/>
          <w:lang w:val="es-CL"/>
        </w:rPr>
        <w:t>who</w:t>
      </w:r>
      <w:proofErr w:type="spellEnd"/>
      <w:r w:rsidRPr="009D3B46">
        <w:rPr>
          <w:sz w:val="24"/>
          <w:szCs w:val="24"/>
          <w:highlight w:val="white"/>
          <w:lang w:val="es-CL"/>
        </w:rPr>
        <w:t xml:space="preserve"> </w:t>
      </w:r>
      <w:proofErr w:type="spellStart"/>
      <w:r w:rsidRPr="009D3B46">
        <w:rPr>
          <w:sz w:val="24"/>
          <w:szCs w:val="24"/>
          <w:highlight w:val="white"/>
          <w:lang w:val="es-CL"/>
        </w:rPr>
        <w:t>should</w:t>
      </w:r>
      <w:proofErr w:type="spellEnd"/>
      <w:r w:rsidRPr="009D3B46">
        <w:rPr>
          <w:sz w:val="24"/>
          <w:szCs w:val="24"/>
          <w:highlight w:val="white"/>
          <w:lang w:val="es-CL"/>
        </w:rPr>
        <w:t xml:space="preserve"> be </w:t>
      </w:r>
      <w:proofErr w:type="spellStart"/>
      <w:r w:rsidRPr="009D3B46">
        <w:rPr>
          <w:sz w:val="24"/>
          <w:szCs w:val="24"/>
          <w:highlight w:val="white"/>
          <w:lang w:val="es-CL"/>
        </w:rPr>
        <w:t>considered</w:t>
      </w:r>
      <w:proofErr w:type="spellEnd"/>
      <w:r w:rsidRPr="009D3B46">
        <w:rPr>
          <w:sz w:val="24"/>
          <w:szCs w:val="24"/>
          <w:highlight w:val="white"/>
          <w:lang w:val="es-CL"/>
        </w:rPr>
        <w:t xml:space="preserve"> </w:t>
      </w:r>
      <w:proofErr w:type="spellStart"/>
      <w:r w:rsidRPr="009D3B46">
        <w:rPr>
          <w:sz w:val="24"/>
          <w:szCs w:val="24"/>
          <w:highlight w:val="white"/>
          <w:lang w:val="es-CL"/>
        </w:rPr>
        <w:t>for</w:t>
      </w:r>
      <w:proofErr w:type="spellEnd"/>
      <w:r w:rsidRPr="009D3B46">
        <w:rPr>
          <w:sz w:val="24"/>
          <w:szCs w:val="24"/>
          <w:highlight w:val="white"/>
          <w:lang w:val="es-CL"/>
        </w:rPr>
        <w:t xml:space="preserve"> </w:t>
      </w:r>
      <w:proofErr w:type="spellStart"/>
      <w:r w:rsidRPr="009D3B46">
        <w:rPr>
          <w:sz w:val="24"/>
          <w:szCs w:val="24"/>
          <w:highlight w:val="white"/>
          <w:lang w:val="es-CL"/>
        </w:rPr>
        <w:t>an</w:t>
      </w:r>
      <w:proofErr w:type="spellEnd"/>
      <w:r w:rsidRPr="009D3B46">
        <w:rPr>
          <w:sz w:val="24"/>
          <w:szCs w:val="24"/>
          <w:highlight w:val="white"/>
          <w:lang w:val="es-CL"/>
        </w:rPr>
        <w:t xml:space="preserve"> extended </w:t>
      </w:r>
      <w:proofErr w:type="spellStart"/>
      <w:r w:rsidRPr="009D3B46">
        <w:rPr>
          <w:sz w:val="24"/>
          <w:szCs w:val="24"/>
          <w:highlight w:val="white"/>
          <w:lang w:val="es-CL"/>
        </w:rPr>
        <w:t>pelvic</w:t>
      </w:r>
      <w:proofErr w:type="spellEnd"/>
      <w:r w:rsidRPr="009D3B46">
        <w:rPr>
          <w:sz w:val="24"/>
          <w:szCs w:val="24"/>
          <w:highlight w:val="white"/>
          <w:lang w:val="es-CL"/>
        </w:rPr>
        <w:t xml:space="preserve"> </w:t>
      </w:r>
      <w:proofErr w:type="spellStart"/>
      <w:r w:rsidRPr="009D3B46">
        <w:rPr>
          <w:sz w:val="24"/>
          <w:szCs w:val="24"/>
          <w:highlight w:val="white"/>
          <w:lang w:val="es-CL"/>
        </w:rPr>
        <w:t>lymph</w:t>
      </w:r>
      <w:proofErr w:type="spellEnd"/>
      <w:r w:rsidRPr="009D3B46">
        <w:rPr>
          <w:sz w:val="24"/>
          <w:szCs w:val="24"/>
          <w:highlight w:val="white"/>
          <w:lang w:val="es-CL"/>
        </w:rPr>
        <w:t xml:space="preserve"> </w:t>
      </w:r>
      <w:proofErr w:type="spellStart"/>
      <w:r w:rsidRPr="009D3B46">
        <w:rPr>
          <w:sz w:val="24"/>
          <w:szCs w:val="24"/>
          <w:highlight w:val="white"/>
          <w:lang w:val="es-CL"/>
        </w:rPr>
        <w:t>node</w:t>
      </w:r>
      <w:proofErr w:type="spellEnd"/>
      <w:r w:rsidRPr="009D3B46">
        <w:rPr>
          <w:sz w:val="24"/>
          <w:szCs w:val="24"/>
          <w:highlight w:val="white"/>
          <w:lang w:val="es-CL"/>
        </w:rPr>
        <w:t xml:space="preserve"> </w:t>
      </w:r>
      <w:proofErr w:type="spellStart"/>
      <w:r w:rsidRPr="009D3B46">
        <w:rPr>
          <w:sz w:val="24"/>
          <w:szCs w:val="24"/>
          <w:highlight w:val="white"/>
          <w:lang w:val="es-CL"/>
        </w:rPr>
        <w:t>dissection</w:t>
      </w:r>
      <w:proofErr w:type="spellEnd"/>
      <w:r w:rsidRPr="009D3B46">
        <w:rPr>
          <w:sz w:val="24"/>
          <w:szCs w:val="24"/>
          <w:highlight w:val="white"/>
          <w:lang w:val="es-CL"/>
        </w:rPr>
        <w:t xml:space="preserve">. </w:t>
      </w:r>
      <w:proofErr w:type="spellStart"/>
      <w:r w:rsidRPr="009D3B46">
        <w:rPr>
          <w:i/>
          <w:iCs/>
          <w:sz w:val="24"/>
          <w:szCs w:val="24"/>
          <w:highlight w:val="white"/>
          <w:lang w:val="es-CL"/>
        </w:rPr>
        <w:t>Eur</w:t>
      </w:r>
      <w:proofErr w:type="spellEnd"/>
      <w:r w:rsidRPr="009D3B46">
        <w:rPr>
          <w:i/>
          <w:iCs/>
          <w:sz w:val="24"/>
          <w:szCs w:val="24"/>
          <w:highlight w:val="white"/>
          <w:lang w:val="es-CL"/>
        </w:rPr>
        <w:t xml:space="preserve"> </w:t>
      </w:r>
      <w:proofErr w:type="spellStart"/>
      <w:r w:rsidRPr="009D3B46">
        <w:rPr>
          <w:i/>
          <w:iCs/>
          <w:sz w:val="24"/>
          <w:szCs w:val="24"/>
          <w:highlight w:val="white"/>
          <w:lang w:val="es-CL"/>
        </w:rPr>
        <w:t>Urol</w:t>
      </w:r>
      <w:proofErr w:type="spellEnd"/>
      <w:r w:rsidRPr="009D3B46">
        <w:rPr>
          <w:sz w:val="24"/>
          <w:szCs w:val="24"/>
          <w:highlight w:val="white"/>
          <w:lang w:val="es-CL"/>
        </w:rPr>
        <w:t>. 2020;78(2):138-42. doi:10.1016/j.eururo.2020.05.012.</w:t>
      </w:r>
    </w:p>
    <w:p w14:paraId="48B39A61" w14:textId="77777777" w:rsidR="009D3B46" w:rsidRPr="009D3B46" w:rsidRDefault="009D3B46" w:rsidP="009D3B46">
      <w:pPr>
        <w:spacing w:after="240" w:line="480" w:lineRule="auto"/>
        <w:ind w:left="384"/>
        <w:rPr>
          <w:sz w:val="24"/>
          <w:szCs w:val="24"/>
          <w:highlight w:val="white"/>
          <w:lang w:val="es-CL"/>
        </w:rPr>
      </w:pPr>
      <w:r w:rsidRPr="009D3B46">
        <w:rPr>
          <w:b/>
          <w:bCs/>
          <w:sz w:val="24"/>
          <w:szCs w:val="24"/>
          <w:highlight w:val="white"/>
          <w:lang w:val="es-CL"/>
        </w:rPr>
        <w:lastRenderedPageBreak/>
        <w:t>10.</w:t>
      </w:r>
      <w:r w:rsidRPr="009D3B46">
        <w:rPr>
          <w:sz w:val="24"/>
          <w:szCs w:val="24"/>
          <w:highlight w:val="white"/>
          <w:lang w:val="es-CL"/>
        </w:rPr>
        <w:t xml:space="preserve"> </w:t>
      </w:r>
      <w:proofErr w:type="spellStart"/>
      <w:r w:rsidRPr="009D3B46">
        <w:rPr>
          <w:sz w:val="24"/>
          <w:szCs w:val="24"/>
          <w:highlight w:val="white"/>
          <w:lang w:val="es-CL"/>
        </w:rPr>
        <w:t>Hofman</w:t>
      </w:r>
      <w:proofErr w:type="spellEnd"/>
      <w:r w:rsidRPr="009D3B46">
        <w:rPr>
          <w:sz w:val="24"/>
          <w:szCs w:val="24"/>
          <w:highlight w:val="white"/>
          <w:lang w:val="es-CL"/>
        </w:rPr>
        <w:t xml:space="preserve"> MS, </w:t>
      </w:r>
      <w:proofErr w:type="spellStart"/>
      <w:r w:rsidRPr="009D3B46">
        <w:rPr>
          <w:sz w:val="24"/>
          <w:szCs w:val="24"/>
          <w:highlight w:val="white"/>
          <w:lang w:val="es-CL"/>
        </w:rPr>
        <w:t>Lawrentschuk</w:t>
      </w:r>
      <w:proofErr w:type="spellEnd"/>
      <w:r w:rsidRPr="009D3B46">
        <w:rPr>
          <w:sz w:val="24"/>
          <w:szCs w:val="24"/>
          <w:highlight w:val="white"/>
          <w:lang w:val="es-CL"/>
        </w:rPr>
        <w:t xml:space="preserve"> N, Francis RJ, Tang C, Vela I, Thomas P, et al. </w:t>
      </w:r>
      <w:proofErr w:type="spellStart"/>
      <w:r w:rsidRPr="009D3B46">
        <w:rPr>
          <w:sz w:val="24"/>
          <w:szCs w:val="24"/>
          <w:highlight w:val="white"/>
          <w:lang w:val="es-CL"/>
        </w:rPr>
        <w:t>Prostate-specific</w:t>
      </w:r>
      <w:proofErr w:type="spellEnd"/>
      <w:r w:rsidRPr="009D3B46">
        <w:rPr>
          <w:sz w:val="24"/>
          <w:szCs w:val="24"/>
          <w:highlight w:val="white"/>
          <w:lang w:val="es-CL"/>
        </w:rPr>
        <w:t xml:space="preserve"> </w:t>
      </w:r>
      <w:proofErr w:type="spellStart"/>
      <w:r w:rsidRPr="009D3B46">
        <w:rPr>
          <w:sz w:val="24"/>
          <w:szCs w:val="24"/>
          <w:highlight w:val="white"/>
          <w:lang w:val="es-CL"/>
        </w:rPr>
        <w:t>membrane</w:t>
      </w:r>
      <w:proofErr w:type="spellEnd"/>
      <w:r w:rsidRPr="009D3B46">
        <w:rPr>
          <w:sz w:val="24"/>
          <w:szCs w:val="24"/>
          <w:highlight w:val="white"/>
          <w:lang w:val="es-CL"/>
        </w:rPr>
        <w:t xml:space="preserve"> </w:t>
      </w:r>
      <w:proofErr w:type="spellStart"/>
      <w:r w:rsidRPr="009D3B46">
        <w:rPr>
          <w:sz w:val="24"/>
          <w:szCs w:val="24"/>
          <w:highlight w:val="white"/>
          <w:lang w:val="es-CL"/>
        </w:rPr>
        <w:t>antigen</w:t>
      </w:r>
      <w:proofErr w:type="spellEnd"/>
      <w:r w:rsidRPr="009D3B46">
        <w:rPr>
          <w:sz w:val="24"/>
          <w:szCs w:val="24"/>
          <w:highlight w:val="white"/>
          <w:lang w:val="es-CL"/>
        </w:rPr>
        <w:t xml:space="preserve"> PET-CT in </w:t>
      </w:r>
      <w:proofErr w:type="spellStart"/>
      <w:r w:rsidRPr="009D3B46">
        <w:rPr>
          <w:sz w:val="24"/>
          <w:szCs w:val="24"/>
          <w:highlight w:val="white"/>
          <w:lang w:val="es-CL"/>
        </w:rPr>
        <w:t>patients</w:t>
      </w:r>
      <w:proofErr w:type="spellEnd"/>
      <w:r w:rsidRPr="009D3B46">
        <w:rPr>
          <w:sz w:val="24"/>
          <w:szCs w:val="24"/>
          <w:highlight w:val="white"/>
          <w:lang w:val="es-CL"/>
        </w:rPr>
        <w:t xml:space="preserve"> </w:t>
      </w:r>
      <w:proofErr w:type="spellStart"/>
      <w:r w:rsidRPr="009D3B46">
        <w:rPr>
          <w:sz w:val="24"/>
          <w:szCs w:val="24"/>
          <w:highlight w:val="white"/>
          <w:lang w:val="es-CL"/>
        </w:rPr>
        <w:t>with</w:t>
      </w:r>
      <w:proofErr w:type="spellEnd"/>
      <w:r w:rsidRPr="009D3B46">
        <w:rPr>
          <w:sz w:val="24"/>
          <w:szCs w:val="24"/>
          <w:highlight w:val="white"/>
          <w:lang w:val="es-CL"/>
        </w:rPr>
        <w:t xml:space="preserve"> </w:t>
      </w:r>
      <w:proofErr w:type="spellStart"/>
      <w:r w:rsidRPr="009D3B46">
        <w:rPr>
          <w:sz w:val="24"/>
          <w:szCs w:val="24"/>
          <w:highlight w:val="white"/>
          <w:lang w:val="es-CL"/>
        </w:rPr>
        <w:t>high-risk</w:t>
      </w:r>
      <w:proofErr w:type="spellEnd"/>
      <w:r w:rsidRPr="009D3B46">
        <w:rPr>
          <w:sz w:val="24"/>
          <w:szCs w:val="24"/>
          <w:highlight w:val="white"/>
          <w:lang w:val="es-CL"/>
        </w:rPr>
        <w:t xml:space="preserve"> </w:t>
      </w:r>
      <w:proofErr w:type="spellStart"/>
      <w:r w:rsidRPr="009D3B46">
        <w:rPr>
          <w:sz w:val="24"/>
          <w:szCs w:val="24"/>
          <w:highlight w:val="white"/>
          <w:lang w:val="es-CL"/>
        </w:rPr>
        <w:t>prostate</w:t>
      </w:r>
      <w:proofErr w:type="spellEnd"/>
      <w:r w:rsidRPr="009D3B46">
        <w:rPr>
          <w:sz w:val="24"/>
          <w:szCs w:val="24"/>
          <w:highlight w:val="white"/>
          <w:lang w:val="es-CL"/>
        </w:rPr>
        <w:t xml:space="preserve"> </w:t>
      </w:r>
      <w:proofErr w:type="spellStart"/>
      <w:r w:rsidRPr="009D3B46">
        <w:rPr>
          <w:sz w:val="24"/>
          <w:szCs w:val="24"/>
          <w:highlight w:val="white"/>
          <w:lang w:val="es-CL"/>
        </w:rPr>
        <w:t>cancer</w:t>
      </w:r>
      <w:proofErr w:type="spellEnd"/>
      <w:r w:rsidRPr="009D3B46">
        <w:rPr>
          <w:sz w:val="24"/>
          <w:szCs w:val="24"/>
          <w:highlight w:val="white"/>
          <w:lang w:val="es-CL"/>
        </w:rPr>
        <w:t xml:space="preserve"> </w:t>
      </w:r>
      <w:proofErr w:type="spellStart"/>
      <w:r w:rsidRPr="009D3B46">
        <w:rPr>
          <w:sz w:val="24"/>
          <w:szCs w:val="24"/>
          <w:highlight w:val="white"/>
          <w:lang w:val="es-CL"/>
        </w:rPr>
        <w:t>before</w:t>
      </w:r>
      <w:proofErr w:type="spellEnd"/>
      <w:r w:rsidRPr="009D3B46">
        <w:rPr>
          <w:sz w:val="24"/>
          <w:szCs w:val="24"/>
          <w:highlight w:val="white"/>
          <w:lang w:val="es-CL"/>
        </w:rPr>
        <w:t xml:space="preserve"> curative-</w:t>
      </w:r>
      <w:proofErr w:type="spellStart"/>
      <w:r w:rsidRPr="009D3B46">
        <w:rPr>
          <w:sz w:val="24"/>
          <w:szCs w:val="24"/>
          <w:highlight w:val="white"/>
          <w:lang w:val="es-CL"/>
        </w:rPr>
        <w:t>intent</w:t>
      </w:r>
      <w:proofErr w:type="spellEnd"/>
      <w:r w:rsidRPr="009D3B46">
        <w:rPr>
          <w:sz w:val="24"/>
          <w:szCs w:val="24"/>
          <w:highlight w:val="white"/>
          <w:lang w:val="es-CL"/>
        </w:rPr>
        <w:t xml:space="preserve"> </w:t>
      </w:r>
      <w:proofErr w:type="spellStart"/>
      <w:r w:rsidRPr="009D3B46">
        <w:rPr>
          <w:sz w:val="24"/>
          <w:szCs w:val="24"/>
          <w:highlight w:val="white"/>
          <w:lang w:val="es-CL"/>
        </w:rPr>
        <w:t>surgery</w:t>
      </w:r>
      <w:proofErr w:type="spellEnd"/>
      <w:r w:rsidRPr="009D3B46">
        <w:rPr>
          <w:sz w:val="24"/>
          <w:szCs w:val="24"/>
          <w:highlight w:val="white"/>
          <w:lang w:val="es-CL"/>
        </w:rPr>
        <w:t xml:space="preserve"> </w:t>
      </w:r>
      <w:proofErr w:type="spellStart"/>
      <w:r w:rsidRPr="009D3B46">
        <w:rPr>
          <w:sz w:val="24"/>
          <w:szCs w:val="24"/>
          <w:highlight w:val="white"/>
          <w:lang w:val="es-CL"/>
        </w:rPr>
        <w:t>or</w:t>
      </w:r>
      <w:proofErr w:type="spellEnd"/>
      <w:r w:rsidRPr="009D3B46">
        <w:rPr>
          <w:sz w:val="24"/>
          <w:szCs w:val="24"/>
          <w:highlight w:val="white"/>
          <w:lang w:val="es-CL"/>
        </w:rPr>
        <w:t xml:space="preserve"> </w:t>
      </w:r>
      <w:proofErr w:type="spellStart"/>
      <w:r w:rsidRPr="009D3B46">
        <w:rPr>
          <w:sz w:val="24"/>
          <w:szCs w:val="24"/>
          <w:highlight w:val="white"/>
          <w:lang w:val="es-CL"/>
        </w:rPr>
        <w:t>radiotherapy</w:t>
      </w:r>
      <w:proofErr w:type="spellEnd"/>
      <w:r w:rsidRPr="009D3B46">
        <w:rPr>
          <w:sz w:val="24"/>
          <w:szCs w:val="24"/>
          <w:highlight w:val="white"/>
          <w:lang w:val="es-CL"/>
        </w:rPr>
        <w:t xml:space="preserve"> (</w:t>
      </w:r>
      <w:proofErr w:type="spellStart"/>
      <w:r w:rsidRPr="009D3B46">
        <w:rPr>
          <w:sz w:val="24"/>
          <w:szCs w:val="24"/>
          <w:highlight w:val="white"/>
          <w:lang w:val="es-CL"/>
        </w:rPr>
        <w:t>proPSMA</w:t>
      </w:r>
      <w:proofErr w:type="spellEnd"/>
      <w:r w:rsidRPr="009D3B46">
        <w:rPr>
          <w:sz w:val="24"/>
          <w:szCs w:val="24"/>
          <w:highlight w:val="white"/>
          <w:lang w:val="es-CL"/>
        </w:rPr>
        <w:t xml:space="preserve">): a prospective, </w:t>
      </w:r>
      <w:proofErr w:type="spellStart"/>
      <w:r w:rsidRPr="009D3B46">
        <w:rPr>
          <w:sz w:val="24"/>
          <w:szCs w:val="24"/>
          <w:highlight w:val="white"/>
          <w:lang w:val="es-CL"/>
        </w:rPr>
        <w:t>randomised</w:t>
      </w:r>
      <w:proofErr w:type="spellEnd"/>
      <w:r w:rsidRPr="009D3B46">
        <w:rPr>
          <w:sz w:val="24"/>
          <w:szCs w:val="24"/>
          <w:highlight w:val="white"/>
          <w:lang w:val="es-CL"/>
        </w:rPr>
        <w:t xml:space="preserve">, </w:t>
      </w:r>
      <w:proofErr w:type="spellStart"/>
      <w:r w:rsidRPr="009D3B46">
        <w:rPr>
          <w:sz w:val="24"/>
          <w:szCs w:val="24"/>
          <w:highlight w:val="white"/>
          <w:lang w:val="es-CL"/>
        </w:rPr>
        <w:t>multicentre</w:t>
      </w:r>
      <w:proofErr w:type="spellEnd"/>
      <w:r w:rsidRPr="009D3B46">
        <w:rPr>
          <w:sz w:val="24"/>
          <w:szCs w:val="24"/>
          <w:highlight w:val="white"/>
          <w:lang w:val="es-CL"/>
        </w:rPr>
        <w:t xml:space="preserve"> </w:t>
      </w:r>
      <w:proofErr w:type="spellStart"/>
      <w:r w:rsidRPr="009D3B46">
        <w:rPr>
          <w:sz w:val="24"/>
          <w:szCs w:val="24"/>
          <w:highlight w:val="white"/>
          <w:lang w:val="es-CL"/>
        </w:rPr>
        <w:t>study</w:t>
      </w:r>
      <w:proofErr w:type="spellEnd"/>
      <w:r w:rsidRPr="009D3B46">
        <w:rPr>
          <w:sz w:val="24"/>
          <w:szCs w:val="24"/>
          <w:highlight w:val="white"/>
          <w:lang w:val="es-CL"/>
        </w:rPr>
        <w:t xml:space="preserve">. </w:t>
      </w:r>
      <w:r w:rsidRPr="009D3B46">
        <w:rPr>
          <w:i/>
          <w:iCs/>
          <w:sz w:val="24"/>
          <w:szCs w:val="24"/>
          <w:highlight w:val="white"/>
          <w:lang w:val="es-CL"/>
        </w:rPr>
        <w:t>Lancet</w:t>
      </w:r>
      <w:r w:rsidRPr="009D3B46">
        <w:rPr>
          <w:sz w:val="24"/>
          <w:szCs w:val="24"/>
          <w:highlight w:val="white"/>
          <w:lang w:val="es-CL"/>
        </w:rPr>
        <w:t>. 2020;395(10231):1208-16. doi:10.1016/S0140-6736(20)30314-7.</w:t>
      </w:r>
    </w:p>
    <w:p w14:paraId="2D365A19" w14:textId="77777777" w:rsidR="009D3B46" w:rsidRPr="009D3B46" w:rsidRDefault="009D3B46" w:rsidP="009D3B46">
      <w:pPr>
        <w:spacing w:after="240" w:line="480" w:lineRule="auto"/>
        <w:ind w:left="384"/>
        <w:rPr>
          <w:sz w:val="24"/>
          <w:szCs w:val="24"/>
          <w:highlight w:val="white"/>
          <w:lang w:val="es-CL"/>
        </w:rPr>
      </w:pPr>
      <w:r w:rsidRPr="009D3B46">
        <w:rPr>
          <w:b/>
          <w:bCs/>
          <w:sz w:val="24"/>
          <w:szCs w:val="24"/>
          <w:highlight w:val="white"/>
          <w:lang w:val="es-CL"/>
        </w:rPr>
        <w:t>11.</w:t>
      </w:r>
      <w:r w:rsidRPr="009D3B46">
        <w:rPr>
          <w:sz w:val="24"/>
          <w:szCs w:val="24"/>
          <w:highlight w:val="white"/>
          <w:lang w:val="es-CL"/>
        </w:rPr>
        <w:t xml:space="preserve"> Maurer T, Murphy DG, </w:t>
      </w:r>
      <w:proofErr w:type="spellStart"/>
      <w:r w:rsidRPr="009D3B46">
        <w:rPr>
          <w:sz w:val="24"/>
          <w:szCs w:val="24"/>
          <w:highlight w:val="white"/>
          <w:lang w:val="es-CL"/>
        </w:rPr>
        <w:t>Hofman</w:t>
      </w:r>
      <w:proofErr w:type="spellEnd"/>
      <w:r w:rsidRPr="009D3B46">
        <w:rPr>
          <w:sz w:val="24"/>
          <w:szCs w:val="24"/>
          <w:highlight w:val="white"/>
          <w:lang w:val="es-CL"/>
        </w:rPr>
        <w:t xml:space="preserve"> MS, </w:t>
      </w:r>
      <w:proofErr w:type="spellStart"/>
      <w:r w:rsidRPr="009D3B46">
        <w:rPr>
          <w:sz w:val="24"/>
          <w:szCs w:val="24"/>
          <w:highlight w:val="white"/>
          <w:lang w:val="es-CL"/>
        </w:rPr>
        <w:t>Eiber</w:t>
      </w:r>
      <w:proofErr w:type="spellEnd"/>
      <w:r w:rsidRPr="009D3B46">
        <w:rPr>
          <w:sz w:val="24"/>
          <w:szCs w:val="24"/>
          <w:highlight w:val="white"/>
          <w:lang w:val="es-CL"/>
        </w:rPr>
        <w:t xml:space="preserve"> M. PSMA-PET </w:t>
      </w:r>
      <w:proofErr w:type="spellStart"/>
      <w:r w:rsidRPr="009D3B46">
        <w:rPr>
          <w:sz w:val="24"/>
          <w:szCs w:val="24"/>
          <w:highlight w:val="white"/>
          <w:lang w:val="es-CL"/>
        </w:rPr>
        <w:t>for</w:t>
      </w:r>
      <w:proofErr w:type="spellEnd"/>
      <w:r w:rsidRPr="009D3B46">
        <w:rPr>
          <w:sz w:val="24"/>
          <w:szCs w:val="24"/>
          <w:highlight w:val="white"/>
          <w:lang w:val="es-CL"/>
        </w:rPr>
        <w:t xml:space="preserve"> </w:t>
      </w:r>
      <w:proofErr w:type="spellStart"/>
      <w:r w:rsidRPr="009D3B46">
        <w:rPr>
          <w:sz w:val="24"/>
          <w:szCs w:val="24"/>
          <w:highlight w:val="white"/>
          <w:lang w:val="es-CL"/>
        </w:rPr>
        <w:t>lymph</w:t>
      </w:r>
      <w:proofErr w:type="spellEnd"/>
      <w:r w:rsidRPr="009D3B46">
        <w:rPr>
          <w:sz w:val="24"/>
          <w:szCs w:val="24"/>
          <w:highlight w:val="white"/>
          <w:lang w:val="es-CL"/>
        </w:rPr>
        <w:t xml:space="preserve"> </w:t>
      </w:r>
      <w:proofErr w:type="spellStart"/>
      <w:r w:rsidRPr="009D3B46">
        <w:rPr>
          <w:sz w:val="24"/>
          <w:szCs w:val="24"/>
          <w:highlight w:val="white"/>
          <w:lang w:val="es-CL"/>
        </w:rPr>
        <w:t>node</w:t>
      </w:r>
      <w:proofErr w:type="spellEnd"/>
      <w:r w:rsidRPr="009D3B46">
        <w:rPr>
          <w:sz w:val="24"/>
          <w:szCs w:val="24"/>
          <w:highlight w:val="white"/>
          <w:lang w:val="es-CL"/>
        </w:rPr>
        <w:t xml:space="preserve"> </w:t>
      </w:r>
      <w:proofErr w:type="spellStart"/>
      <w:r w:rsidRPr="009D3B46">
        <w:rPr>
          <w:sz w:val="24"/>
          <w:szCs w:val="24"/>
          <w:highlight w:val="white"/>
          <w:lang w:val="es-CL"/>
        </w:rPr>
        <w:t>detection</w:t>
      </w:r>
      <w:proofErr w:type="spellEnd"/>
      <w:r w:rsidRPr="009D3B46">
        <w:rPr>
          <w:sz w:val="24"/>
          <w:szCs w:val="24"/>
          <w:highlight w:val="white"/>
          <w:lang w:val="es-CL"/>
        </w:rPr>
        <w:t xml:space="preserve"> in </w:t>
      </w:r>
      <w:proofErr w:type="spellStart"/>
      <w:r w:rsidRPr="009D3B46">
        <w:rPr>
          <w:sz w:val="24"/>
          <w:szCs w:val="24"/>
          <w:highlight w:val="white"/>
          <w:lang w:val="es-CL"/>
        </w:rPr>
        <w:t>recurrent</w:t>
      </w:r>
      <w:proofErr w:type="spellEnd"/>
      <w:r w:rsidRPr="009D3B46">
        <w:rPr>
          <w:sz w:val="24"/>
          <w:szCs w:val="24"/>
          <w:highlight w:val="white"/>
          <w:lang w:val="es-CL"/>
        </w:rPr>
        <w:t xml:space="preserve"> </w:t>
      </w:r>
      <w:proofErr w:type="spellStart"/>
      <w:r w:rsidRPr="009D3B46">
        <w:rPr>
          <w:sz w:val="24"/>
          <w:szCs w:val="24"/>
          <w:highlight w:val="white"/>
          <w:lang w:val="es-CL"/>
        </w:rPr>
        <w:t>prostate</w:t>
      </w:r>
      <w:proofErr w:type="spellEnd"/>
      <w:r w:rsidRPr="009D3B46">
        <w:rPr>
          <w:sz w:val="24"/>
          <w:szCs w:val="24"/>
          <w:highlight w:val="white"/>
          <w:lang w:val="es-CL"/>
        </w:rPr>
        <w:t xml:space="preserve"> </w:t>
      </w:r>
      <w:proofErr w:type="spellStart"/>
      <w:r w:rsidRPr="009D3B46">
        <w:rPr>
          <w:sz w:val="24"/>
          <w:szCs w:val="24"/>
          <w:highlight w:val="white"/>
          <w:lang w:val="es-CL"/>
        </w:rPr>
        <w:t>cancer</w:t>
      </w:r>
      <w:proofErr w:type="spellEnd"/>
      <w:r w:rsidRPr="009D3B46">
        <w:rPr>
          <w:sz w:val="24"/>
          <w:szCs w:val="24"/>
          <w:highlight w:val="white"/>
          <w:lang w:val="es-CL"/>
        </w:rPr>
        <w:t xml:space="preserve">: </w:t>
      </w:r>
      <w:proofErr w:type="spellStart"/>
      <w:r w:rsidRPr="009D3B46">
        <w:rPr>
          <w:sz w:val="24"/>
          <w:szCs w:val="24"/>
          <w:highlight w:val="white"/>
          <w:lang w:val="es-CL"/>
        </w:rPr>
        <w:t>how</w:t>
      </w:r>
      <w:proofErr w:type="spellEnd"/>
      <w:r w:rsidRPr="009D3B46">
        <w:rPr>
          <w:sz w:val="24"/>
          <w:szCs w:val="24"/>
          <w:highlight w:val="white"/>
          <w:lang w:val="es-CL"/>
        </w:rPr>
        <w:t xml:space="preserve"> do </w:t>
      </w:r>
      <w:proofErr w:type="spellStart"/>
      <w:r w:rsidRPr="009D3B46">
        <w:rPr>
          <w:sz w:val="24"/>
          <w:szCs w:val="24"/>
          <w:highlight w:val="white"/>
          <w:lang w:val="es-CL"/>
        </w:rPr>
        <w:t>we</w:t>
      </w:r>
      <w:proofErr w:type="spellEnd"/>
      <w:r w:rsidRPr="009D3B46">
        <w:rPr>
          <w:sz w:val="24"/>
          <w:szCs w:val="24"/>
          <w:highlight w:val="white"/>
          <w:lang w:val="es-CL"/>
        </w:rPr>
        <w:t xml:space="preserve"> use </w:t>
      </w:r>
      <w:proofErr w:type="spellStart"/>
      <w:r w:rsidRPr="009D3B46">
        <w:rPr>
          <w:sz w:val="24"/>
          <w:szCs w:val="24"/>
          <w:highlight w:val="white"/>
          <w:lang w:val="es-CL"/>
        </w:rPr>
        <w:t>the</w:t>
      </w:r>
      <w:proofErr w:type="spellEnd"/>
      <w:r w:rsidRPr="009D3B46">
        <w:rPr>
          <w:sz w:val="24"/>
          <w:szCs w:val="24"/>
          <w:highlight w:val="white"/>
          <w:lang w:val="es-CL"/>
        </w:rPr>
        <w:t xml:space="preserve"> </w:t>
      </w:r>
      <w:proofErr w:type="spellStart"/>
      <w:r w:rsidRPr="009D3B46">
        <w:rPr>
          <w:sz w:val="24"/>
          <w:szCs w:val="24"/>
          <w:highlight w:val="white"/>
          <w:lang w:val="es-CL"/>
        </w:rPr>
        <w:t>magic</w:t>
      </w:r>
      <w:proofErr w:type="spellEnd"/>
      <w:r w:rsidRPr="009D3B46">
        <w:rPr>
          <w:sz w:val="24"/>
          <w:szCs w:val="24"/>
          <w:highlight w:val="white"/>
          <w:lang w:val="es-CL"/>
        </w:rPr>
        <w:t xml:space="preserve"> </w:t>
      </w:r>
      <w:proofErr w:type="spellStart"/>
      <w:r w:rsidRPr="009D3B46">
        <w:rPr>
          <w:sz w:val="24"/>
          <w:szCs w:val="24"/>
          <w:highlight w:val="white"/>
          <w:lang w:val="es-CL"/>
        </w:rPr>
        <w:t>bullet</w:t>
      </w:r>
      <w:proofErr w:type="spellEnd"/>
      <w:r w:rsidRPr="009D3B46">
        <w:rPr>
          <w:sz w:val="24"/>
          <w:szCs w:val="24"/>
          <w:highlight w:val="white"/>
          <w:lang w:val="es-CL"/>
        </w:rPr>
        <w:t xml:space="preserve">? </w:t>
      </w:r>
      <w:proofErr w:type="spellStart"/>
      <w:r w:rsidRPr="009D3B46">
        <w:rPr>
          <w:i/>
          <w:iCs/>
          <w:sz w:val="24"/>
          <w:szCs w:val="24"/>
          <w:highlight w:val="white"/>
          <w:lang w:val="es-CL"/>
        </w:rPr>
        <w:t>Theranostics</w:t>
      </w:r>
      <w:proofErr w:type="spellEnd"/>
      <w:r w:rsidRPr="009D3B46">
        <w:rPr>
          <w:sz w:val="24"/>
          <w:szCs w:val="24"/>
          <w:highlight w:val="white"/>
          <w:lang w:val="es-CL"/>
        </w:rPr>
        <w:t>. 2017;7(7):2046-7. doi:10.7150/thno.19792.</w:t>
      </w:r>
    </w:p>
    <w:p w14:paraId="192B4946" w14:textId="77777777" w:rsidR="009D3B46" w:rsidRPr="009D3B46" w:rsidRDefault="009D3B46" w:rsidP="009D3B46">
      <w:pPr>
        <w:spacing w:after="240" w:line="480" w:lineRule="auto"/>
        <w:ind w:left="384"/>
        <w:rPr>
          <w:sz w:val="24"/>
          <w:szCs w:val="24"/>
          <w:highlight w:val="white"/>
          <w:lang w:val="es-CL"/>
        </w:rPr>
      </w:pPr>
      <w:r w:rsidRPr="009D3B46">
        <w:rPr>
          <w:b/>
          <w:bCs/>
          <w:sz w:val="24"/>
          <w:szCs w:val="24"/>
          <w:highlight w:val="white"/>
          <w:lang w:val="es-CL"/>
        </w:rPr>
        <w:t>12.</w:t>
      </w:r>
      <w:r w:rsidRPr="009D3B46">
        <w:rPr>
          <w:sz w:val="24"/>
          <w:szCs w:val="24"/>
          <w:highlight w:val="white"/>
          <w:lang w:val="es-CL"/>
        </w:rPr>
        <w:t xml:space="preserve"> </w:t>
      </w:r>
      <w:proofErr w:type="spellStart"/>
      <w:r w:rsidRPr="009D3B46">
        <w:rPr>
          <w:sz w:val="24"/>
          <w:szCs w:val="24"/>
          <w:highlight w:val="white"/>
          <w:lang w:val="es-CL"/>
        </w:rPr>
        <w:t>Jilg</w:t>
      </w:r>
      <w:proofErr w:type="spellEnd"/>
      <w:r w:rsidRPr="009D3B46">
        <w:rPr>
          <w:sz w:val="24"/>
          <w:szCs w:val="24"/>
          <w:highlight w:val="white"/>
          <w:lang w:val="es-CL"/>
        </w:rPr>
        <w:t xml:space="preserve"> CA, </w:t>
      </w:r>
      <w:proofErr w:type="spellStart"/>
      <w:r w:rsidRPr="009D3B46">
        <w:rPr>
          <w:sz w:val="24"/>
          <w:szCs w:val="24"/>
          <w:highlight w:val="white"/>
          <w:lang w:val="es-CL"/>
        </w:rPr>
        <w:t>Drendel</w:t>
      </w:r>
      <w:proofErr w:type="spellEnd"/>
      <w:r w:rsidRPr="009D3B46">
        <w:rPr>
          <w:sz w:val="24"/>
          <w:szCs w:val="24"/>
          <w:highlight w:val="white"/>
          <w:lang w:val="es-CL"/>
        </w:rPr>
        <w:t xml:space="preserve"> V, </w:t>
      </w:r>
      <w:proofErr w:type="spellStart"/>
      <w:r w:rsidRPr="009D3B46">
        <w:rPr>
          <w:sz w:val="24"/>
          <w:szCs w:val="24"/>
          <w:highlight w:val="white"/>
          <w:lang w:val="es-CL"/>
        </w:rPr>
        <w:t>Rischke</w:t>
      </w:r>
      <w:proofErr w:type="spellEnd"/>
      <w:r w:rsidRPr="009D3B46">
        <w:rPr>
          <w:sz w:val="24"/>
          <w:szCs w:val="24"/>
          <w:highlight w:val="white"/>
          <w:lang w:val="es-CL"/>
        </w:rPr>
        <w:t xml:space="preserve"> HC, Beck T, </w:t>
      </w:r>
      <w:proofErr w:type="spellStart"/>
      <w:r w:rsidRPr="009D3B46">
        <w:rPr>
          <w:sz w:val="24"/>
          <w:szCs w:val="24"/>
          <w:highlight w:val="white"/>
          <w:lang w:val="es-CL"/>
        </w:rPr>
        <w:t>Vach</w:t>
      </w:r>
      <w:proofErr w:type="spellEnd"/>
      <w:r w:rsidRPr="009D3B46">
        <w:rPr>
          <w:sz w:val="24"/>
          <w:szCs w:val="24"/>
          <w:highlight w:val="white"/>
          <w:lang w:val="es-CL"/>
        </w:rPr>
        <w:t xml:space="preserve"> W, </w:t>
      </w:r>
      <w:proofErr w:type="spellStart"/>
      <w:r w:rsidRPr="009D3B46">
        <w:rPr>
          <w:sz w:val="24"/>
          <w:szCs w:val="24"/>
          <w:highlight w:val="white"/>
          <w:lang w:val="es-CL"/>
        </w:rPr>
        <w:t>Schaal</w:t>
      </w:r>
      <w:proofErr w:type="spellEnd"/>
      <w:r w:rsidRPr="009D3B46">
        <w:rPr>
          <w:sz w:val="24"/>
          <w:szCs w:val="24"/>
          <w:highlight w:val="white"/>
          <w:lang w:val="es-CL"/>
        </w:rPr>
        <w:t xml:space="preserve"> K, et al. </w:t>
      </w:r>
      <w:proofErr w:type="spellStart"/>
      <w:r w:rsidRPr="009D3B46">
        <w:rPr>
          <w:sz w:val="24"/>
          <w:szCs w:val="24"/>
          <w:highlight w:val="white"/>
          <w:lang w:val="es-CL"/>
        </w:rPr>
        <w:t>Diagnostic</w:t>
      </w:r>
      <w:proofErr w:type="spellEnd"/>
      <w:r w:rsidRPr="009D3B46">
        <w:rPr>
          <w:sz w:val="24"/>
          <w:szCs w:val="24"/>
          <w:highlight w:val="white"/>
          <w:lang w:val="es-CL"/>
        </w:rPr>
        <w:t xml:space="preserve"> </w:t>
      </w:r>
      <w:proofErr w:type="spellStart"/>
      <w:r w:rsidRPr="009D3B46">
        <w:rPr>
          <w:sz w:val="24"/>
          <w:szCs w:val="24"/>
          <w:highlight w:val="white"/>
          <w:lang w:val="es-CL"/>
        </w:rPr>
        <w:t>accuracy</w:t>
      </w:r>
      <w:proofErr w:type="spellEnd"/>
      <w:r w:rsidRPr="009D3B46">
        <w:rPr>
          <w:sz w:val="24"/>
          <w:szCs w:val="24"/>
          <w:highlight w:val="white"/>
          <w:lang w:val="es-CL"/>
        </w:rPr>
        <w:t xml:space="preserve"> </w:t>
      </w:r>
      <w:proofErr w:type="spellStart"/>
      <w:r w:rsidRPr="009D3B46">
        <w:rPr>
          <w:sz w:val="24"/>
          <w:szCs w:val="24"/>
          <w:highlight w:val="white"/>
          <w:lang w:val="es-CL"/>
        </w:rPr>
        <w:t>of</w:t>
      </w:r>
      <w:proofErr w:type="spellEnd"/>
      <w:r w:rsidRPr="009D3B46">
        <w:rPr>
          <w:sz w:val="24"/>
          <w:szCs w:val="24"/>
          <w:highlight w:val="white"/>
          <w:lang w:val="es-CL"/>
        </w:rPr>
        <w:t xml:space="preserve"> Ga-68-PSMA </w:t>
      </w:r>
      <w:proofErr w:type="spellStart"/>
      <w:r w:rsidRPr="009D3B46">
        <w:rPr>
          <w:sz w:val="24"/>
          <w:szCs w:val="24"/>
          <w:highlight w:val="white"/>
          <w:lang w:val="es-CL"/>
        </w:rPr>
        <w:t>ligand</w:t>
      </w:r>
      <w:proofErr w:type="spellEnd"/>
      <w:r w:rsidRPr="009D3B46">
        <w:rPr>
          <w:sz w:val="24"/>
          <w:szCs w:val="24"/>
          <w:highlight w:val="white"/>
          <w:lang w:val="es-CL"/>
        </w:rPr>
        <w:t xml:space="preserve"> PET/CT </w:t>
      </w:r>
      <w:proofErr w:type="spellStart"/>
      <w:r w:rsidRPr="009D3B46">
        <w:rPr>
          <w:sz w:val="24"/>
          <w:szCs w:val="24"/>
          <w:highlight w:val="white"/>
          <w:lang w:val="es-CL"/>
        </w:rPr>
        <w:t>before</w:t>
      </w:r>
      <w:proofErr w:type="spellEnd"/>
      <w:r w:rsidRPr="009D3B46">
        <w:rPr>
          <w:sz w:val="24"/>
          <w:szCs w:val="24"/>
          <w:highlight w:val="white"/>
          <w:lang w:val="es-CL"/>
        </w:rPr>
        <w:t xml:space="preserve"> </w:t>
      </w:r>
      <w:proofErr w:type="spellStart"/>
      <w:r w:rsidRPr="009D3B46">
        <w:rPr>
          <w:sz w:val="24"/>
          <w:szCs w:val="24"/>
          <w:highlight w:val="white"/>
          <w:lang w:val="es-CL"/>
        </w:rPr>
        <w:t>salvage</w:t>
      </w:r>
      <w:proofErr w:type="spellEnd"/>
      <w:r w:rsidRPr="009D3B46">
        <w:rPr>
          <w:sz w:val="24"/>
          <w:szCs w:val="24"/>
          <w:highlight w:val="white"/>
          <w:lang w:val="es-CL"/>
        </w:rPr>
        <w:t xml:space="preserve"> </w:t>
      </w:r>
      <w:proofErr w:type="spellStart"/>
      <w:r w:rsidRPr="009D3B46">
        <w:rPr>
          <w:sz w:val="24"/>
          <w:szCs w:val="24"/>
          <w:highlight w:val="white"/>
          <w:lang w:val="es-CL"/>
        </w:rPr>
        <w:t>lymph</w:t>
      </w:r>
      <w:proofErr w:type="spellEnd"/>
      <w:r w:rsidRPr="009D3B46">
        <w:rPr>
          <w:sz w:val="24"/>
          <w:szCs w:val="24"/>
          <w:highlight w:val="white"/>
          <w:lang w:val="es-CL"/>
        </w:rPr>
        <w:t xml:space="preserve"> </w:t>
      </w:r>
      <w:proofErr w:type="spellStart"/>
      <w:r w:rsidRPr="009D3B46">
        <w:rPr>
          <w:sz w:val="24"/>
          <w:szCs w:val="24"/>
          <w:highlight w:val="white"/>
          <w:lang w:val="es-CL"/>
        </w:rPr>
        <w:t>node</w:t>
      </w:r>
      <w:proofErr w:type="spellEnd"/>
      <w:r w:rsidRPr="009D3B46">
        <w:rPr>
          <w:sz w:val="24"/>
          <w:szCs w:val="24"/>
          <w:highlight w:val="white"/>
          <w:lang w:val="es-CL"/>
        </w:rPr>
        <w:t xml:space="preserve"> </w:t>
      </w:r>
      <w:proofErr w:type="spellStart"/>
      <w:r w:rsidRPr="009D3B46">
        <w:rPr>
          <w:sz w:val="24"/>
          <w:szCs w:val="24"/>
          <w:highlight w:val="white"/>
          <w:lang w:val="es-CL"/>
        </w:rPr>
        <w:t>dissection</w:t>
      </w:r>
      <w:proofErr w:type="spellEnd"/>
      <w:r w:rsidRPr="009D3B46">
        <w:rPr>
          <w:sz w:val="24"/>
          <w:szCs w:val="24"/>
          <w:highlight w:val="white"/>
          <w:lang w:val="es-CL"/>
        </w:rPr>
        <w:t xml:space="preserve"> </w:t>
      </w:r>
      <w:proofErr w:type="spellStart"/>
      <w:r w:rsidRPr="009D3B46">
        <w:rPr>
          <w:sz w:val="24"/>
          <w:szCs w:val="24"/>
          <w:highlight w:val="white"/>
          <w:lang w:val="es-CL"/>
        </w:rPr>
        <w:t>for</w:t>
      </w:r>
      <w:proofErr w:type="spellEnd"/>
      <w:r w:rsidRPr="009D3B46">
        <w:rPr>
          <w:sz w:val="24"/>
          <w:szCs w:val="24"/>
          <w:highlight w:val="white"/>
          <w:lang w:val="es-CL"/>
        </w:rPr>
        <w:t xml:space="preserve"> </w:t>
      </w:r>
      <w:proofErr w:type="spellStart"/>
      <w:r w:rsidRPr="009D3B46">
        <w:rPr>
          <w:sz w:val="24"/>
          <w:szCs w:val="24"/>
          <w:highlight w:val="white"/>
          <w:lang w:val="es-CL"/>
        </w:rPr>
        <w:t>recurrent</w:t>
      </w:r>
      <w:proofErr w:type="spellEnd"/>
      <w:r w:rsidRPr="009D3B46">
        <w:rPr>
          <w:sz w:val="24"/>
          <w:szCs w:val="24"/>
          <w:highlight w:val="white"/>
          <w:lang w:val="es-CL"/>
        </w:rPr>
        <w:t xml:space="preserve"> </w:t>
      </w:r>
      <w:proofErr w:type="spellStart"/>
      <w:r w:rsidRPr="009D3B46">
        <w:rPr>
          <w:sz w:val="24"/>
          <w:szCs w:val="24"/>
          <w:highlight w:val="white"/>
          <w:lang w:val="es-CL"/>
        </w:rPr>
        <w:t>prostate</w:t>
      </w:r>
      <w:proofErr w:type="spellEnd"/>
      <w:r w:rsidRPr="009D3B46">
        <w:rPr>
          <w:sz w:val="24"/>
          <w:szCs w:val="24"/>
          <w:highlight w:val="white"/>
          <w:lang w:val="es-CL"/>
        </w:rPr>
        <w:t xml:space="preserve"> </w:t>
      </w:r>
      <w:proofErr w:type="spellStart"/>
      <w:r w:rsidRPr="009D3B46">
        <w:rPr>
          <w:sz w:val="24"/>
          <w:szCs w:val="24"/>
          <w:highlight w:val="white"/>
          <w:lang w:val="es-CL"/>
        </w:rPr>
        <w:t>cancer</w:t>
      </w:r>
      <w:proofErr w:type="spellEnd"/>
      <w:r w:rsidRPr="009D3B46">
        <w:rPr>
          <w:sz w:val="24"/>
          <w:szCs w:val="24"/>
          <w:highlight w:val="white"/>
          <w:lang w:val="es-CL"/>
        </w:rPr>
        <w:t xml:space="preserve">. </w:t>
      </w:r>
      <w:proofErr w:type="spellStart"/>
      <w:r w:rsidRPr="009D3B46">
        <w:rPr>
          <w:i/>
          <w:iCs/>
          <w:sz w:val="24"/>
          <w:szCs w:val="24"/>
          <w:highlight w:val="white"/>
          <w:lang w:val="es-CL"/>
        </w:rPr>
        <w:t>Theranostics</w:t>
      </w:r>
      <w:proofErr w:type="spellEnd"/>
      <w:r w:rsidRPr="009D3B46">
        <w:rPr>
          <w:sz w:val="24"/>
          <w:szCs w:val="24"/>
          <w:highlight w:val="white"/>
          <w:lang w:val="es-CL"/>
        </w:rPr>
        <w:t>. 2017;7(6):1770-80. doi:10.7150/thno.18738.</w:t>
      </w:r>
    </w:p>
    <w:p w14:paraId="2CA6D441" w14:textId="77777777" w:rsidR="009D3B46" w:rsidRPr="009D3B46" w:rsidRDefault="009D3B46" w:rsidP="009D3B46">
      <w:pPr>
        <w:spacing w:after="240" w:line="480" w:lineRule="auto"/>
        <w:ind w:left="384"/>
        <w:rPr>
          <w:sz w:val="24"/>
          <w:szCs w:val="24"/>
          <w:highlight w:val="white"/>
          <w:lang w:val="es-CL"/>
        </w:rPr>
      </w:pPr>
      <w:r w:rsidRPr="009D3B46">
        <w:rPr>
          <w:b/>
          <w:bCs/>
          <w:sz w:val="24"/>
          <w:szCs w:val="24"/>
          <w:highlight w:val="white"/>
          <w:lang w:val="es-CL"/>
        </w:rPr>
        <w:t>13.</w:t>
      </w:r>
      <w:r w:rsidRPr="009D3B46">
        <w:rPr>
          <w:sz w:val="24"/>
          <w:szCs w:val="24"/>
          <w:highlight w:val="white"/>
          <w:lang w:val="es-CL"/>
        </w:rPr>
        <w:t xml:space="preserve"> Vis AN, Meijer D, Roberts MJ, </w:t>
      </w:r>
      <w:proofErr w:type="spellStart"/>
      <w:r w:rsidRPr="009D3B46">
        <w:rPr>
          <w:sz w:val="24"/>
          <w:szCs w:val="24"/>
          <w:highlight w:val="white"/>
          <w:lang w:val="es-CL"/>
        </w:rPr>
        <w:t>Siriwardana</w:t>
      </w:r>
      <w:proofErr w:type="spellEnd"/>
      <w:r w:rsidRPr="009D3B46">
        <w:rPr>
          <w:sz w:val="24"/>
          <w:szCs w:val="24"/>
          <w:highlight w:val="white"/>
          <w:lang w:val="es-CL"/>
        </w:rPr>
        <w:t xml:space="preserve"> AR, Morton A, </w:t>
      </w:r>
      <w:proofErr w:type="spellStart"/>
      <w:r w:rsidRPr="009D3B46">
        <w:rPr>
          <w:sz w:val="24"/>
          <w:szCs w:val="24"/>
          <w:highlight w:val="white"/>
          <w:lang w:val="es-CL"/>
        </w:rPr>
        <w:t>Yaxley</w:t>
      </w:r>
      <w:proofErr w:type="spellEnd"/>
      <w:r w:rsidRPr="009D3B46">
        <w:rPr>
          <w:sz w:val="24"/>
          <w:szCs w:val="24"/>
          <w:highlight w:val="white"/>
          <w:lang w:val="es-CL"/>
        </w:rPr>
        <w:t xml:space="preserve"> JW, et al. </w:t>
      </w:r>
      <w:proofErr w:type="spellStart"/>
      <w:r w:rsidRPr="009D3B46">
        <w:rPr>
          <w:sz w:val="24"/>
          <w:szCs w:val="24"/>
          <w:highlight w:val="white"/>
          <w:lang w:val="es-CL"/>
        </w:rPr>
        <w:t>Development</w:t>
      </w:r>
      <w:proofErr w:type="spellEnd"/>
      <w:r w:rsidRPr="009D3B46">
        <w:rPr>
          <w:sz w:val="24"/>
          <w:szCs w:val="24"/>
          <w:highlight w:val="white"/>
          <w:lang w:val="es-CL"/>
        </w:rPr>
        <w:t xml:space="preserve"> and </w:t>
      </w:r>
      <w:proofErr w:type="spellStart"/>
      <w:r w:rsidRPr="009D3B46">
        <w:rPr>
          <w:sz w:val="24"/>
          <w:szCs w:val="24"/>
          <w:highlight w:val="white"/>
          <w:lang w:val="es-CL"/>
        </w:rPr>
        <w:t>external</w:t>
      </w:r>
      <w:proofErr w:type="spellEnd"/>
      <w:r w:rsidRPr="009D3B46">
        <w:rPr>
          <w:sz w:val="24"/>
          <w:szCs w:val="24"/>
          <w:highlight w:val="white"/>
          <w:lang w:val="es-CL"/>
        </w:rPr>
        <w:t xml:space="preserve"> </w:t>
      </w:r>
      <w:proofErr w:type="spellStart"/>
      <w:r w:rsidRPr="009D3B46">
        <w:rPr>
          <w:sz w:val="24"/>
          <w:szCs w:val="24"/>
          <w:highlight w:val="white"/>
          <w:lang w:val="es-CL"/>
        </w:rPr>
        <w:t>validation</w:t>
      </w:r>
      <w:proofErr w:type="spellEnd"/>
      <w:r w:rsidRPr="009D3B46">
        <w:rPr>
          <w:sz w:val="24"/>
          <w:szCs w:val="24"/>
          <w:highlight w:val="white"/>
          <w:lang w:val="es-CL"/>
        </w:rPr>
        <w:t xml:space="preserve"> </w:t>
      </w:r>
      <w:proofErr w:type="spellStart"/>
      <w:r w:rsidRPr="009D3B46">
        <w:rPr>
          <w:sz w:val="24"/>
          <w:szCs w:val="24"/>
          <w:highlight w:val="white"/>
          <w:lang w:val="es-CL"/>
        </w:rPr>
        <w:t>of</w:t>
      </w:r>
      <w:proofErr w:type="spellEnd"/>
      <w:r w:rsidRPr="009D3B46">
        <w:rPr>
          <w:sz w:val="24"/>
          <w:szCs w:val="24"/>
          <w:highlight w:val="white"/>
          <w:lang w:val="es-CL"/>
        </w:rPr>
        <w:t xml:space="preserve"> a novel </w:t>
      </w:r>
      <w:proofErr w:type="spellStart"/>
      <w:r w:rsidRPr="009D3B46">
        <w:rPr>
          <w:sz w:val="24"/>
          <w:szCs w:val="24"/>
          <w:highlight w:val="white"/>
          <w:lang w:val="es-CL"/>
        </w:rPr>
        <w:t>nomogram</w:t>
      </w:r>
      <w:proofErr w:type="spellEnd"/>
      <w:r w:rsidRPr="009D3B46">
        <w:rPr>
          <w:sz w:val="24"/>
          <w:szCs w:val="24"/>
          <w:highlight w:val="white"/>
          <w:lang w:val="es-CL"/>
        </w:rPr>
        <w:t xml:space="preserve"> </w:t>
      </w:r>
      <w:proofErr w:type="spellStart"/>
      <w:r w:rsidRPr="009D3B46">
        <w:rPr>
          <w:sz w:val="24"/>
          <w:szCs w:val="24"/>
          <w:highlight w:val="white"/>
          <w:lang w:val="es-CL"/>
        </w:rPr>
        <w:t>to</w:t>
      </w:r>
      <w:proofErr w:type="spellEnd"/>
      <w:r w:rsidRPr="009D3B46">
        <w:rPr>
          <w:sz w:val="24"/>
          <w:szCs w:val="24"/>
          <w:highlight w:val="white"/>
          <w:lang w:val="es-CL"/>
        </w:rPr>
        <w:t xml:space="preserve"> </w:t>
      </w:r>
      <w:proofErr w:type="spellStart"/>
      <w:r w:rsidRPr="009D3B46">
        <w:rPr>
          <w:sz w:val="24"/>
          <w:szCs w:val="24"/>
          <w:highlight w:val="white"/>
          <w:lang w:val="es-CL"/>
        </w:rPr>
        <w:t>predict</w:t>
      </w:r>
      <w:proofErr w:type="spellEnd"/>
      <w:r w:rsidRPr="009D3B46">
        <w:rPr>
          <w:sz w:val="24"/>
          <w:szCs w:val="24"/>
          <w:highlight w:val="white"/>
          <w:lang w:val="es-CL"/>
        </w:rPr>
        <w:t xml:space="preserve"> </w:t>
      </w:r>
      <w:proofErr w:type="spellStart"/>
      <w:r w:rsidRPr="009D3B46">
        <w:rPr>
          <w:sz w:val="24"/>
          <w:szCs w:val="24"/>
          <w:highlight w:val="white"/>
          <w:lang w:val="es-CL"/>
        </w:rPr>
        <w:t>pelvic</w:t>
      </w:r>
      <w:proofErr w:type="spellEnd"/>
      <w:r w:rsidRPr="009D3B46">
        <w:rPr>
          <w:sz w:val="24"/>
          <w:szCs w:val="24"/>
          <w:highlight w:val="white"/>
          <w:lang w:val="es-CL"/>
        </w:rPr>
        <w:t xml:space="preserve"> </w:t>
      </w:r>
      <w:proofErr w:type="spellStart"/>
      <w:r w:rsidRPr="009D3B46">
        <w:rPr>
          <w:sz w:val="24"/>
          <w:szCs w:val="24"/>
          <w:highlight w:val="white"/>
          <w:lang w:val="es-CL"/>
        </w:rPr>
        <w:t>lymph-node</w:t>
      </w:r>
      <w:proofErr w:type="spellEnd"/>
      <w:r w:rsidRPr="009D3B46">
        <w:rPr>
          <w:sz w:val="24"/>
          <w:szCs w:val="24"/>
          <w:highlight w:val="white"/>
          <w:lang w:val="es-CL"/>
        </w:rPr>
        <w:t xml:space="preserve"> </w:t>
      </w:r>
      <w:proofErr w:type="spellStart"/>
      <w:r w:rsidRPr="009D3B46">
        <w:rPr>
          <w:sz w:val="24"/>
          <w:szCs w:val="24"/>
          <w:highlight w:val="white"/>
          <w:lang w:val="es-CL"/>
        </w:rPr>
        <w:t>metastases</w:t>
      </w:r>
      <w:proofErr w:type="spellEnd"/>
      <w:r w:rsidRPr="009D3B46">
        <w:rPr>
          <w:sz w:val="24"/>
          <w:szCs w:val="24"/>
          <w:highlight w:val="white"/>
          <w:lang w:val="es-CL"/>
        </w:rPr>
        <w:t xml:space="preserve"> in </w:t>
      </w:r>
      <w:proofErr w:type="spellStart"/>
      <w:r w:rsidRPr="009D3B46">
        <w:rPr>
          <w:sz w:val="24"/>
          <w:szCs w:val="24"/>
          <w:highlight w:val="white"/>
          <w:lang w:val="es-CL"/>
        </w:rPr>
        <w:t>prostate</w:t>
      </w:r>
      <w:proofErr w:type="spellEnd"/>
      <w:r w:rsidRPr="009D3B46">
        <w:rPr>
          <w:sz w:val="24"/>
          <w:szCs w:val="24"/>
          <w:highlight w:val="white"/>
          <w:lang w:val="es-CL"/>
        </w:rPr>
        <w:t xml:space="preserve"> </w:t>
      </w:r>
      <w:proofErr w:type="spellStart"/>
      <w:r w:rsidRPr="009D3B46">
        <w:rPr>
          <w:sz w:val="24"/>
          <w:szCs w:val="24"/>
          <w:highlight w:val="white"/>
          <w:lang w:val="es-CL"/>
        </w:rPr>
        <w:t>cancer</w:t>
      </w:r>
      <w:proofErr w:type="spellEnd"/>
      <w:r w:rsidRPr="009D3B46">
        <w:rPr>
          <w:sz w:val="24"/>
          <w:szCs w:val="24"/>
          <w:highlight w:val="white"/>
          <w:lang w:val="es-CL"/>
        </w:rPr>
        <w:t xml:space="preserve"> </w:t>
      </w:r>
      <w:proofErr w:type="spellStart"/>
      <w:r w:rsidRPr="009D3B46">
        <w:rPr>
          <w:sz w:val="24"/>
          <w:szCs w:val="24"/>
          <w:highlight w:val="white"/>
          <w:lang w:val="es-CL"/>
        </w:rPr>
        <w:t>patients</w:t>
      </w:r>
      <w:proofErr w:type="spellEnd"/>
      <w:r w:rsidRPr="009D3B46">
        <w:rPr>
          <w:sz w:val="24"/>
          <w:szCs w:val="24"/>
          <w:highlight w:val="white"/>
          <w:lang w:val="es-CL"/>
        </w:rPr>
        <w:t xml:space="preserve"> </w:t>
      </w:r>
      <w:proofErr w:type="spellStart"/>
      <w:r w:rsidRPr="009D3B46">
        <w:rPr>
          <w:sz w:val="24"/>
          <w:szCs w:val="24"/>
          <w:highlight w:val="white"/>
          <w:lang w:val="es-CL"/>
        </w:rPr>
        <w:t>using</w:t>
      </w:r>
      <w:proofErr w:type="spellEnd"/>
      <w:r w:rsidRPr="009D3B46">
        <w:rPr>
          <w:sz w:val="24"/>
          <w:szCs w:val="24"/>
          <w:highlight w:val="white"/>
          <w:lang w:val="es-CL"/>
        </w:rPr>
        <w:t xml:space="preserve"> MRI and PSMA PET. </w:t>
      </w:r>
      <w:proofErr w:type="spellStart"/>
      <w:r w:rsidRPr="009D3B46">
        <w:rPr>
          <w:i/>
          <w:iCs/>
          <w:sz w:val="24"/>
          <w:szCs w:val="24"/>
          <w:highlight w:val="white"/>
          <w:lang w:val="es-CL"/>
        </w:rPr>
        <w:t>Eur</w:t>
      </w:r>
      <w:proofErr w:type="spellEnd"/>
      <w:r w:rsidRPr="009D3B46">
        <w:rPr>
          <w:i/>
          <w:iCs/>
          <w:sz w:val="24"/>
          <w:szCs w:val="24"/>
          <w:highlight w:val="white"/>
          <w:lang w:val="es-CL"/>
        </w:rPr>
        <w:t xml:space="preserve"> </w:t>
      </w:r>
      <w:proofErr w:type="spellStart"/>
      <w:r w:rsidRPr="009D3B46">
        <w:rPr>
          <w:i/>
          <w:iCs/>
          <w:sz w:val="24"/>
          <w:szCs w:val="24"/>
          <w:highlight w:val="white"/>
          <w:lang w:val="es-CL"/>
        </w:rPr>
        <w:t>Urol</w:t>
      </w:r>
      <w:proofErr w:type="spellEnd"/>
      <w:r w:rsidRPr="009D3B46">
        <w:rPr>
          <w:i/>
          <w:iCs/>
          <w:sz w:val="24"/>
          <w:szCs w:val="24"/>
          <w:highlight w:val="white"/>
          <w:lang w:val="es-CL"/>
        </w:rPr>
        <w:t xml:space="preserve"> Oncol</w:t>
      </w:r>
      <w:r w:rsidRPr="009D3B46">
        <w:rPr>
          <w:sz w:val="24"/>
          <w:szCs w:val="24"/>
          <w:highlight w:val="white"/>
          <w:lang w:val="es-CL"/>
        </w:rPr>
        <w:t>. 2023;6(6):553-63. doi:10.1016/j.euo.2023.01.007.</w:t>
      </w:r>
    </w:p>
    <w:p w14:paraId="17298294" w14:textId="77777777" w:rsidR="009D3B46" w:rsidRPr="009D3B46" w:rsidRDefault="009D3B46" w:rsidP="009D3B46">
      <w:pPr>
        <w:spacing w:after="240" w:line="480" w:lineRule="auto"/>
        <w:ind w:left="384"/>
        <w:rPr>
          <w:sz w:val="24"/>
          <w:szCs w:val="24"/>
          <w:highlight w:val="white"/>
          <w:lang w:val="es-CL"/>
        </w:rPr>
      </w:pPr>
      <w:r w:rsidRPr="009D3B46">
        <w:rPr>
          <w:b/>
          <w:bCs/>
          <w:sz w:val="24"/>
          <w:szCs w:val="24"/>
          <w:highlight w:val="white"/>
          <w:lang w:val="es-CL"/>
        </w:rPr>
        <w:t>14.</w:t>
      </w:r>
      <w:r w:rsidRPr="009D3B46">
        <w:rPr>
          <w:sz w:val="24"/>
          <w:szCs w:val="24"/>
          <w:highlight w:val="white"/>
          <w:lang w:val="es-CL"/>
        </w:rPr>
        <w:t xml:space="preserve"> Meijer D, van </w:t>
      </w:r>
      <w:proofErr w:type="spellStart"/>
      <w:r w:rsidRPr="009D3B46">
        <w:rPr>
          <w:sz w:val="24"/>
          <w:szCs w:val="24"/>
          <w:highlight w:val="white"/>
          <w:lang w:val="es-CL"/>
        </w:rPr>
        <w:t>Leeuwen</w:t>
      </w:r>
      <w:proofErr w:type="spellEnd"/>
      <w:r w:rsidRPr="009D3B46">
        <w:rPr>
          <w:sz w:val="24"/>
          <w:szCs w:val="24"/>
          <w:highlight w:val="white"/>
          <w:lang w:val="es-CL"/>
        </w:rPr>
        <w:t xml:space="preserve"> PJ, Roberts MJ, </w:t>
      </w:r>
      <w:proofErr w:type="spellStart"/>
      <w:r w:rsidRPr="009D3B46">
        <w:rPr>
          <w:sz w:val="24"/>
          <w:szCs w:val="24"/>
          <w:highlight w:val="white"/>
          <w:lang w:val="es-CL"/>
        </w:rPr>
        <w:t>Siriwardana</w:t>
      </w:r>
      <w:proofErr w:type="spellEnd"/>
      <w:r w:rsidRPr="009D3B46">
        <w:rPr>
          <w:sz w:val="24"/>
          <w:szCs w:val="24"/>
          <w:highlight w:val="white"/>
          <w:lang w:val="es-CL"/>
        </w:rPr>
        <w:t xml:space="preserve"> AR, Morton A, </w:t>
      </w:r>
      <w:proofErr w:type="spellStart"/>
      <w:r w:rsidRPr="009D3B46">
        <w:rPr>
          <w:sz w:val="24"/>
          <w:szCs w:val="24"/>
          <w:highlight w:val="white"/>
          <w:lang w:val="es-CL"/>
        </w:rPr>
        <w:t>Yaxley</w:t>
      </w:r>
      <w:proofErr w:type="spellEnd"/>
      <w:r w:rsidRPr="009D3B46">
        <w:rPr>
          <w:sz w:val="24"/>
          <w:szCs w:val="24"/>
          <w:highlight w:val="white"/>
          <w:lang w:val="es-CL"/>
        </w:rPr>
        <w:t xml:space="preserve"> JW, et al. </w:t>
      </w:r>
      <w:proofErr w:type="spellStart"/>
      <w:r w:rsidRPr="009D3B46">
        <w:rPr>
          <w:sz w:val="24"/>
          <w:szCs w:val="24"/>
          <w:highlight w:val="white"/>
          <w:lang w:val="es-CL"/>
        </w:rPr>
        <w:t>External</w:t>
      </w:r>
      <w:proofErr w:type="spellEnd"/>
      <w:r w:rsidRPr="009D3B46">
        <w:rPr>
          <w:sz w:val="24"/>
          <w:szCs w:val="24"/>
          <w:highlight w:val="white"/>
          <w:lang w:val="es-CL"/>
        </w:rPr>
        <w:t xml:space="preserve"> </w:t>
      </w:r>
      <w:proofErr w:type="spellStart"/>
      <w:r w:rsidRPr="009D3B46">
        <w:rPr>
          <w:sz w:val="24"/>
          <w:szCs w:val="24"/>
          <w:highlight w:val="white"/>
          <w:lang w:val="es-CL"/>
        </w:rPr>
        <w:t>validation</w:t>
      </w:r>
      <w:proofErr w:type="spellEnd"/>
      <w:r w:rsidRPr="009D3B46">
        <w:rPr>
          <w:sz w:val="24"/>
          <w:szCs w:val="24"/>
          <w:highlight w:val="white"/>
          <w:lang w:val="es-CL"/>
        </w:rPr>
        <w:t xml:space="preserve"> and </w:t>
      </w:r>
      <w:proofErr w:type="spellStart"/>
      <w:r w:rsidRPr="009D3B46">
        <w:rPr>
          <w:sz w:val="24"/>
          <w:szCs w:val="24"/>
          <w:highlight w:val="white"/>
          <w:lang w:val="es-CL"/>
        </w:rPr>
        <w:t>addition</w:t>
      </w:r>
      <w:proofErr w:type="spellEnd"/>
      <w:r w:rsidRPr="009D3B46">
        <w:rPr>
          <w:sz w:val="24"/>
          <w:szCs w:val="24"/>
          <w:highlight w:val="white"/>
          <w:lang w:val="es-CL"/>
        </w:rPr>
        <w:t xml:space="preserve"> </w:t>
      </w:r>
      <w:proofErr w:type="spellStart"/>
      <w:r w:rsidRPr="009D3B46">
        <w:rPr>
          <w:sz w:val="24"/>
          <w:szCs w:val="24"/>
          <w:highlight w:val="white"/>
          <w:lang w:val="es-CL"/>
        </w:rPr>
        <w:t>of</w:t>
      </w:r>
      <w:proofErr w:type="spellEnd"/>
      <w:r w:rsidRPr="009D3B46">
        <w:rPr>
          <w:sz w:val="24"/>
          <w:szCs w:val="24"/>
          <w:highlight w:val="white"/>
          <w:lang w:val="es-CL"/>
        </w:rPr>
        <w:t xml:space="preserve"> PSMA PET </w:t>
      </w:r>
      <w:proofErr w:type="spellStart"/>
      <w:r w:rsidRPr="009D3B46">
        <w:rPr>
          <w:sz w:val="24"/>
          <w:szCs w:val="24"/>
          <w:highlight w:val="white"/>
          <w:lang w:val="es-CL"/>
        </w:rPr>
        <w:t>to</w:t>
      </w:r>
      <w:proofErr w:type="spellEnd"/>
      <w:r w:rsidRPr="009D3B46">
        <w:rPr>
          <w:sz w:val="24"/>
          <w:szCs w:val="24"/>
          <w:highlight w:val="white"/>
          <w:lang w:val="es-CL"/>
        </w:rPr>
        <w:t xml:space="preserve"> </w:t>
      </w:r>
      <w:proofErr w:type="spellStart"/>
      <w:r w:rsidRPr="009D3B46">
        <w:rPr>
          <w:sz w:val="24"/>
          <w:szCs w:val="24"/>
          <w:highlight w:val="white"/>
          <w:lang w:val="es-CL"/>
        </w:rPr>
        <w:t>nomograms</w:t>
      </w:r>
      <w:proofErr w:type="spellEnd"/>
      <w:r w:rsidRPr="009D3B46">
        <w:rPr>
          <w:sz w:val="24"/>
          <w:szCs w:val="24"/>
          <w:highlight w:val="white"/>
          <w:lang w:val="es-CL"/>
        </w:rPr>
        <w:t xml:space="preserve"> </w:t>
      </w:r>
      <w:proofErr w:type="spellStart"/>
      <w:r w:rsidRPr="009D3B46">
        <w:rPr>
          <w:sz w:val="24"/>
          <w:szCs w:val="24"/>
          <w:highlight w:val="white"/>
          <w:lang w:val="es-CL"/>
        </w:rPr>
        <w:t>for</w:t>
      </w:r>
      <w:proofErr w:type="spellEnd"/>
      <w:r w:rsidRPr="009D3B46">
        <w:rPr>
          <w:sz w:val="24"/>
          <w:szCs w:val="24"/>
          <w:highlight w:val="white"/>
          <w:lang w:val="es-CL"/>
        </w:rPr>
        <w:t xml:space="preserve"> </w:t>
      </w:r>
      <w:proofErr w:type="spellStart"/>
      <w:r w:rsidRPr="009D3B46">
        <w:rPr>
          <w:sz w:val="24"/>
          <w:szCs w:val="24"/>
          <w:highlight w:val="white"/>
          <w:lang w:val="es-CL"/>
        </w:rPr>
        <w:t>the</w:t>
      </w:r>
      <w:proofErr w:type="spellEnd"/>
      <w:r w:rsidRPr="009D3B46">
        <w:rPr>
          <w:sz w:val="24"/>
          <w:szCs w:val="24"/>
          <w:highlight w:val="white"/>
          <w:lang w:val="es-CL"/>
        </w:rPr>
        <w:t xml:space="preserve"> </w:t>
      </w:r>
      <w:proofErr w:type="spellStart"/>
      <w:r w:rsidRPr="009D3B46">
        <w:rPr>
          <w:sz w:val="24"/>
          <w:szCs w:val="24"/>
          <w:highlight w:val="white"/>
          <w:lang w:val="es-CL"/>
        </w:rPr>
        <w:t>prediction</w:t>
      </w:r>
      <w:proofErr w:type="spellEnd"/>
      <w:r w:rsidRPr="009D3B46">
        <w:rPr>
          <w:sz w:val="24"/>
          <w:szCs w:val="24"/>
          <w:highlight w:val="white"/>
          <w:lang w:val="es-CL"/>
        </w:rPr>
        <w:t xml:space="preserve"> </w:t>
      </w:r>
      <w:proofErr w:type="spellStart"/>
      <w:r w:rsidRPr="009D3B46">
        <w:rPr>
          <w:sz w:val="24"/>
          <w:szCs w:val="24"/>
          <w:highlight w:val="white"/>
          <w:lang w:val="es-CL"/>
        </w:rPr>
        <w:t>of</w:t>
      </w:r>
      <w:proofErr w:type="spellEnd"/>
      <w:r w:rsidRPr="009D3B46">
        <w:rPr>
          <w:sz w:val="24"/>
          <w:szCs w:val="24"/>
          <w:highlight w:val="white"/>
          <w:lang w:val="es-CL"/>
        </w:rPr>
        <w:t xml:space="preserve"> </w:t>
      </w:r>
      <w:proofErr w:type="spellStart"/>
      <w:r w:rsidRPr="009D3B46">
        <w:rPr>
          <w:sz w:val="24"/>
          <w:szCs w:val="24"/>
          <w:highlight w:val="white"/>
          <w:lang w:val="es-CL"/>
        </w:rPr>
        <w:t>pelvic</w:t>
      </w:r>
      <w:proofErr w:type="spellEnd"/>
      <w:r w:rsidRPr="009D3B46">
        <w:rPr>
          <w:sz w:val="24"/>
          <w:szCs w:val="24"/>
          <w:highlight w:val="white"/>
          <w:lang w:val="es-CL"/>
        </w:rPr>
        <w:t xml:space="preserve"> </w:t>
      </w:r>
      <w:proofErr w:type="spellStart"/>
      <w:r w:rsidRPr="009D3B46">
        <w:rPr>
          <w:sz w:val="24"/>
          <w:szCs w:val="24"/>
          <w:highlight w:val="white"/>
          <w:lang w:val="es-CL"/>
        </w:rPr>
        <w:t>lymph-node</w:t>
      </w:r>
      <w:proofErr w:type="spellEnd"/>
      <w:r w:rsidRPr="009D3B46">
        <w:rPr>
          <w:sz w:val="24"/>
          <w:szCs w:val="24"/>
          <w:highlight w:val="white"/>
          <w:lang w:val="es-CL"/>
        </w:rPr>
        <w:t xml:space="preserve"> </w:t>
      </w:r>
      <w:proofErr w:type="spellStart"/>
      <w:r w:rsidRPr="009D3B46">
        <w:rPr>
          <w:sz w:val="24"/>
          <w:szCs w:val="24"/>
          <w:highlight w:val="white"/>
          <w:lang w:val="es-CL"/>
        </w:rPr>
        <w:t>metastases</w:t>
      </w:r>
      <w:proofErr w:type="spellEnd"/>
      <w:r w:rsidRPr="009D3B46">
        <w:rPr>
          <w:sz w:val="24"/>
          <w:szCs w:val="24"/>
          <w:highlight w:val="white"/>
          <w:lang w:val="es-CL"/>
        </w:rPr>
        <w:t xml:space="preserve">: </w:t>
      </w:r>
      <w:proofErr w:type="spellStart"/>
      <w:r w:rsidRPr="009D3B46">
        <w:rPr>
          <w:sz w:val="24"/>
          <w:szCs w:val="24"/>
          <w:highlight w:val="white"/>
          <w:lang w:val="es-CL"/>
        </w:rPr>
        <w:t>an</w:t>
      </w:r>
      <w:proofErr w:type="spellEnd"/>
      <w:r w:rsidRPr="009D3B46">
        <w:rPr>
          <w:sz w:val="24"/>
          <w:szCs w:val="24"/>
          <w:highlight w:val="white"/>
          <w:lang w:val="es-CL"/>
        </w:rPr>
        <w:t xml:space="preserve"> </w:t>
      </w:r>
      <w:proofErr w:type="spellStart"/>
      <w:r w:rsidRPr="009D3B46">
        <w:rPr>
          <w:sz w:val="24"/>
          <w:szCs w:val="24"/>
          <w:highlight w:val="white"/>
          <w:lang w:val="es-CL"/>
        </w:rPr>
        <w:t>international</w:t>
      </w:r>
      <w:proofErr w:type="spellEnd"/>
      <w:r w:rsidRPr="009D3B46">
        <w:rPr>
          <w:sz w:val="24"/>
          <w:szCs w:val="24"/>
          <w:highlight w:val="white"/>
          <w:lang w:val="es-CL"/>
        </w:rPr>
        <w:t xml:space="preserve"> </w:t>
      </w:r>
      <w:proofErr w:type="spellStart"/>
      <w:r w:rsidRPr="009D3B46">
        <w:rPr>
          <w:sz w:val="24"/>
          <w:szCs w:val="24"/>
          <w:highlight w:val="white"/>
          <w:lang w:val="es-CL"/>
        </w:rPr>
        <w:t>multicenter</w:t>
      </w:r>
      <w:proofErr w:type="spellEnd"/>
      <w:r w:rsidRPr="009D3B46">
        <w:rPr>
          <w:sz w:val="24"/>
          <w:szCs w:val="24"/>
          <w:highlight w:val="white"/>
          <w:lang w:val="es-CL"/>
        </w:rPr>
        <w:t xml:space="preserve"> </w:t>
      </w:r>
      <w:proofErr w:type="spellStart"/>
      <w:r w:rsidRPr="009D3B46">
        <w:rPr>
          <w:sz w:val="24"/>
          <w:szCs w:val="24"/>
          <w:highlight w:val="white"/>
          <w:lang w:val="es-CL"/>
        </w:rPr>
        <w:t>study</w:t>
      </w:r>
      <w:proofErr w:type="spellEnd"/>
      <w:r w:rsidRPr="009D3B46">
        <w:rPr>
          <w:sz w:val="24"/>
          <w:szCs w:val="24"/>
          <w:highlight w:val="white"/>
          <w:lang w:val="es-CL"/>
        </w:rPr>
        <w:t xml:space="preserve">. </w:t>
      </w:r>
      <w:proofErr w:type="spellStart"/>
      <w:r w:rsidRPr="009D3B46">
        <w:rPr>
          <w:i/>
          <w:iCs/>
          <w:sz w:val="24"/>
          <w:szCs w:val="24"/>
          <w:highlight w:val="white"/>
          <w:lang w:val="es-CL"/>
        </w:rPr>
        <w:t>Eur</w:t>
      </w:r>
      <w:proofErr w:type="spellEnd"/>
      <w:r w:rsidRPr="009D3B46">
        <w:rPr>
          <w:i/>
          <w:iCs/>
          <w:sz w:val="24"/>
          <w:szCs w:val="24"/>
          <w:highlight w:val="white"/>
          <w:lang w:val="es-CL"/>
        </w:rPr>
        <w:t xml:space="preserve"> </w:t>
      </w:r>
      <w:proofErr w:type="spellStart"/>
      <w:r w:rsidRPr="009D3B46">
        <w:rPr>
          <w:i/>
          <w:iCs/>
          <w:sz w:val="24"/>
          <w:szCs w:val="24"/>
          <w:highlight w:val="white"/>
          <w:lang w:val="es-CL"/>
        </w:rPr>
        <w:t>Urol</w:t>
      </w:r>
      <w:proofErr w:type="spellEnd"/>
      <w:r w:rsidRPr="009D3B46">
        <w:rPr>
          <w:sz w:val="24"/>
          <w:szCs w:val="24"/>
          <w:highlight w:val="white"/>
          <w:lang w:val="es-CL"/>
        </w:rPr>
        <w:t>. 2021;80(2):234-42. doi:10.1016/j.eururo.2021.03.019.</w:t>
      </w:r>
    </w:p>
    <w:p w14:paraId="2E832DC0" w14:textId="77777777" w:rsidR="009D3B46" w:rsidRPr="009D3B46" w:rsidRDefault="009D3B46" w:rsidP="009D3B46">
      <w:pPr>
        <w:spacing w:after="240" w:line="480" w:lineRule="auto"/>
        <w:ind w:left="384"/>
        <w:rPr>
          <w:sz w:val="24"/>
          <w:szCs w:val="24"/>
          <w:highlight w:val="white"/>
          <w:lang w:val="es-CL"/>
        </w:rPr>
      </w:pPr>
      <w:r w:rsidRPr="009D3B46">
        <w:rPr>
          <w:b/>
          <w:bCs/>
          <w:sz w:val="24"/>
          <w:szCs w:val="24"/>
          <w:highlight w:val="white"/>
          <w:lang w:val="es-CL"/>
        </w:rPr>
        <w:t>15.</w:t>
      </w:r>
      <w:r w:rsidRPr="009D3B46">
        <w:rPr>
          <w:sz w:val="24"/>
          <w:szCs w:val="24"/>
          <w:highlight w:val="white"/>
          <w:lang w:val="es-CL"/>
        </w:rPr>
        <w:t xml:space="preserve"> Van Bergen TD, </w:t>
      </w:r>
      <w:proofErr w:type="spellStart"/>
      <w:r w:rsidRPr="009D3B46">
        <w:rPr>
          <w:sz w:val="24"/>
          <w:szCs w:val="24"/>
          <w:highlight w:val="white"/>
          <w:lang w:val="es-CL"/>
        </w:rPr>
        <w:t>Braat</w:t>
      </w:r>
      <w:proofErr w:type="spellEnd"/>
      <w:r w:rsidRPr="009D3B46">
        <w:rPr>
          <w:sz w:val="24"/>
          <w:szCs w:val="24"/>
          <w:highlight w:val="white"/>
          <w:lang w:val="es-CL"/>
        </w:rPr>
        <w:t xml:space="preserve"> AJAT, </w:t>
      </w:r>
      <w:proofErr w:type="spellStart"/>
      <w:r w:rsidRPr="009D3B46">
        <w:rPr>
          <w:sz w:val="24"/>
          <w:szCs w:val="24"/>
          <w:highlight w:val="white"/>
          <w:lang w:val="es-CL"/>
        </w:rPr>
        <w:t>Hermsen</w:t>
      </w:r>
      <w:proofErr w:type="spellEnd"/>
      <w:r w:rsidRPr="009D3B46">
        <w:rPr>
          <w:sz w:val="24"/>
          <w:szCs w:val="24"/>
          <w:highlight w:val="white"/>
          <w:lang w:val="es-CL"/>
        </w:rPr>
        <w:t xml:space="preserve"> R, </w:t>
      </w:r>
      <w:proofErr w:type="spellStart"/>
      <w:r w:rsidRPr="009D3B46">
        <w:rPr>
          <w:sz w:val="24"/>
          <w:szCs w:val="24"/>
          <w:highlight w:val="white"/>
          <w:lang w:val="es-CL"/>
        </w:rPr>
        <w:t>Heetman</w:t>
      </w:r>
      <w:proofErr w:type="spellEnd"/>
      <w:r w:rsidRPr="009D3B46">
        <w:rPr>
          <w:sz w:val="24"/>
          <w:szCs w:val="24"/>
          <w:highlight w:val="white"/>
          <w:lang w:val="es-CL"/>
        </w:rPr>
        <w:t xml:space="preserve"> JG, </w:t>
      </w:r>
      <w:proofErr w:type="spellStart"/>
      <w:r w:rsidRPr="009D3B46">
        <w:rPr>
          <w:sz w:val="24"/>
          <w:szCs w:val="24"/>
          <w:highlight w:val="white"/>
          <w:lang w:val="es-CL"/>
        </w:rPr>
        <w:t>Wever</w:t>
      </w:r>
      <w:proofErr w:type="spellEnd"/>
      <w:r w:rsidRPr="009D3B46">
        <w:rPr>
          <w:sz w:val="24"/>
          <w:szCs w:val="24"/>
          <w:highlight w:val="white"/>
          <w:lang w:val="es-CL"/>
        </w:rPr>
        <w:t xml:space="preserve"> L, </w:t>
      </w:r>
      <w:proofErr w:type="spellStart"/>
      <w:r w:rsidRPr="009D3B46">
        <w:rPr>
          <w:sz w:val="24"/>
          <w:szCs w:val="24"/>
          <w:highlight w:val="white"/>
          <w:lang w:val="es-CL"/>
        </w:rPr>
        <w:t>Lavalaye</w:t>
      </w:r>
      <w:proofErr w:type="spellEnd"/>
      <w:r w:rsidRPr="009D3B46">
        <w:rPr>
          <w:sz w:val="24"/>
          <w:szCs w:val="24"/>
          <w:highlight w:val="white"/>
          <w:lang w:val="es-CL"/>
        </w:rPr>
        <w:t xml:space="preserve"> J, et al. </w:t>
      </w:r>
      <w:proofErr w:type="spellStart"/>
      <w:r w:rsidRPr="009D3B46">
        <w:rPr>
          <w:sz w:val="24"/>
          <w:szCs w:val="24"/>
          <w:highlight w:val="white"/>
          <w:lang w:val="es-CL"/>
        </w:rPr>
        <w:t>External</w:t>
      </w:r>
      <w:proofErr w:type="spellEnd"/>
      <w:r w:rsidRPr="009D3B46">
        <w:rPr>
          <w:sz w:val="24"/>
          <w:szCs w:val="24"/>
          <w:highlight w:val="white"/>
          <w:lang w:val="es-CL"/>
        </w:rPr>
        <w:t xml:space="preserve"> </w:t>
      </w:r>
      <w:proofErr w:type="spellStart"/>
      <w:r w:rsidRPr="009D3B46">
        <w:rPr>
          <w:sz w:val="24"/>
          <w:szCs w:val="24"/>
          <w:highlight w:val="white"/>
          <w:lang w:val="es-CL"/>
        </w:rPr>
        <w:t>validation</w:t>
      </w:r>
      <w:proofErr w:type="spellEnd"/>
      <w:r w:rsidRPr="009D3B46">
        <w:rPr>
          <w:sz w:val="24"/>
          <w:szCs w:val="24"/>
          <w:highlight w:val="white"/>
          <w:lang w:val="es-CL"/>
        </w:rPr>
        <w:t xml:space="preserve"> </w:t>
      </w:r>
      <w:proofErr w:type="spellStart"/>
      <w:r w:rsidRPr="009D3B46">
        <w:rPr>
          <w:sz w:val="24"/>
          <w:szCs w:val="24"/>
          <w:highlight w:val="white"/>
          <w:lang w:val="es-CL"/>
        </w:rPr>
        <w:t>of</w:t>
      </w:r>
      <w:proofErr w:type="spellEnd"/>
      <w:r w:rsidRPr="009D3B46">
        <w:rPr>
          <w:sz w:val="24"/>
          <w:szCs w:val="24"/>
          <w:highlight w:val="white"/>
          <w:lang w:val="es-CL"/>
        </w:rPr>
        <w:t xml:space="preserve"> </w:t>
      </w:r>
      <w:proofErr w:type="spellStart"/>
      <w:r w:rsidRPr="009D3B46">
        <w:rPr>
          <w:sz w:val="24"/>
          <w:szCs w:val="24"/>
          <w:highlight w:val="white"/>
          <w:lang w:val="es-CL"/>
        </w:rPr>
        <w:t>nomograms</w:t>
      </w:r>
      <w:proofErr w:type="spellEnd"/>
      <w:r w:rsidRPr="009D3B46">
        <w:rPr>
          <w:sz w:val="24"/>
          <w:szCs w:val="24"/>
          <w:highlight w:val="white"/>
          <w:lang w:val="es-CL"/>
        </w:rPr>
        <w:t xml:space="preserve"> </w:t>
      </w:r>
      <w:proofErr w:type="spellStart"/>
      <w:r w:rsidRPr="009D3B46">
        <w:rPr>
          <w:sz w:val="24"/>
          <w:szCs w:val="24"/>
          <w:highlight w:val="white"/>
          <w:lang w:val="es-CL"/>
        </w:rPr>
        <w:t>including</w:t>
      </w:r>
      <w:proofErr w:type="spellEnd"/>
      <w:r w:rsidRPr="009D3B46">
        <w:rPr>
          <w:sz w:val="24"/>
          <w:szCs w:val="24"/>
          <w:highlight w:val="white"/>
          <w:lang w:val="es-CL"/>
        </w:rPr>
        <w:t xml:space="preserve"> PSMA PET </w:t>
      </w:r>
      <w:proofErr w:type="spellStart"/>
      <w:r w:rsidRPr="009D3B46">
        <w:rPr>
          <w:sz w:val="24"/>
          <w:szCs w:val="24"/>
          <w:highlight w:val="white"/>
          <w:lang w:val="es-CL"/>
        </w:rPr>
        <w:t>information</w:t>
      </w:r>
      <w:proofErr w:type="spellEnd"/>
      <w:r w:rsidRPr="009D3B46">
        <w:rPr>
          <w:sz w:val="24"/>
          <w:szCs w:val="24"/>
          <w:highlight w:val="white"/>
          <w:lang w:val="es-CL"/>
        </w:rPr>
        <w:t xml:space="preserve"> </w:t>
      </w:r>
      <w:proofErr w:type="spellStart"/>
      <w:r w:rsidRPr="009D3B46">
        <w:rPr>
          <w:sz w:val="24"/>
          <w:szCs w:val="24"/>
          <w:highlight w:val="white"/>
          <w:lang w:val="es-CL"/>
        </w:rPr>
        <w:t>for</w:t>
      </w:r>
      <w:proofErr w:type="spellEnd"/>
      <w:r w:rsidRPr="009D3B46">
        <w:rPr>
          <w:sz w:val="24"/>
          <w:szCs w:val="24"/>
          <w:highlight w:val="white"/>
          <w:lang w:val="es-CL"/>
        </w:rPr>
        <w:t xml:space="preserve"> </w:t>
      </w:r>
      <w:proofErr w:type="spellStart"/>
      <w:r w:rsidRPr="009D3B46">
        <w:rPr>
          <w:sz w:val="24"/>
          <w:szCs w:val="24"/>
          <w:highlight w:val="white"/>
          <w:lang w:val="es-CL"/>
        </w:rPr>
        <w:lastRenderedPageBreak/>
        <w:t>predicting</w:t>
      </w:r>
      <w:proofErr w:type="spellEnd"/>
      <w:r w:rsidRPr="009D3B46">
        <w:rPr>
          <w:sz w:val="24"/>
          <w:szCs w:val="24"/>
          <w:highlight w:val="white"/>
          <w:lang w:val="es-CL"/>
        </w:rPr>
        <w:t xml:space="preserve"> </w:t>
      </w:r>
      <w:proofErr w:type="spellStart"/>
      <w:r w:rsidRPr="009D3B46">
        <w:rPr>
          <w:sz w:val="24"/>
          <w:szCs w:val="24"/>
          <w:highlight w:val="white"/>
          <w:lang w:val="es-CL"/>
        </w:rPr>
        <w:t>lymph</w:t>
      </w:r>
      <w:proofErr w:type="spellEnd"/>
      <w:r w:rsidRPr="009D3B46">
        <w:rPr>
          <w:sz w:val="24"/>
          <w:szCs w:val="24"/>
          <w:highlight w:val="white"/>
          <w:lang w:val="es-CL"/>
        </w:rPr>
        <w:t xml:space="preserve"> </w:t>
      </w:r>
      <w:proofErr w:type="spellStart"/>
      <w:r w:rsidRPr="009D3B46">
        <w:rPr>
          <w:sz w:val="24"/>
          <w:szCs w:val="24"/>
          <w:highlight w:val="white"/>
          <w:lang w:val="es-CL"/>
        </w:rPr>
        <w:t>node</w:t>
      </w:r>
      <w:proofErr w:type="spellEnd"/>
      <w:r w:rsidRPr="009D3B46">
        <w:rPr>
          <w:sz w:val="24"/>
          <w:szCs w:val="24"/>
          <w:highlight w:val="white"/>
          <w:lang w:val="es-CL"/>
        </w:rPr>
        <w:t xml:space="preserve"> </w:t>
      </w:r>
      <w:proofErr w:type="spellStart"/>
      <w:r w:rsidRPr="009D3B46">
        <w:rPr>
          <w:sz w:val="24"/>
          <w:szCs w:val="24"/>
          <w:highlight w:val="white"/>
          <w:lang w:val="es-CL"/>
        </w:rPr>
        <w:t>involvement</w:t>
      </w:r>
      <w:proofErr w:type="spellEnd"/>
      <w:r w:rsidRPr="009D3B46">
        <w:rPr>
          <w:sz w:val="24"/>
          <w:szCs w:val="24"/>
          <w:highlight w:val="white"/>
          <w:lang w:val="es-CL"/>
        </w:rPr>
        <w:t xml:space="preserve"> in </w:t>
      </w:r>
      <w:proofErr w:type="spellStart"/>
      <w:r w:rsidRPr="009D3B46">
        <w:rPr>
          <w:sz w:val="24"/>
          <w:szCs w:val="24"/>
          <w:highlight w:val="white"/>
          <w:lang w:val="es-CL"/>
        </w:rPr>
        <w:t>prostate</w:t>
      </w:r>
      <w:proofErr w:type="spellEnd"/>
      <w:r w:rsidRPr="009D3B46">
        <w:rPr>
          <w:sz w:val="24"/>
          <w:szCs w:val="24"/>
          <w:highlight w:val="white"/>
          <w:lang w:val="es-CL"/>
        </w:rPr>
        <w:t xml:space="preserve"> </w:t>
      </w:r>
      <w:proofErr w:type="spellStart"/>
      <w:r w:rsidRPr="009D3B46">
        <w:rPr>
          <w:sz w:val="24"/>
          <w:szCs w:val="24"/>
          <w:highlight w:val="white"/>
          <w:lang w:val="es-CL"/>
        </w:rPr>
        <w:t>cancer</w:t>
      </w:r>
      <w:proofErr w:type="spellEnd"/>
      <w:r w:rsidRPr="009D3B46">
        <w:rPr>
          <w:sz w:val="24"/>
          <w:szCs w:val="24"/>
          <w:highlight w:val="white"/>
          <w:lang w:val="es-CL"/>
        </w:rPr>
        <w:t xml:space="preserve">. </w:t>
      </w:r>
      <w:proofErr w:type="spellStart"/>
      <w:r w:rsidRPr="009D3B46">
        <w:rPr>
          <w:i/>
          <w:iCs/>
          <w:sz w:val="24"/>
          <w:szCs w:val="24"/>
          <w:highlight w:val="white"/>
          <w:lang w:val="es-CL"/>
        </w:rPr>
        <w:t>Eur</w:t>
      </w:r>
      <w:proofErr w:type="spellEnd"/>
      <w:r w:rsidRPr="009D3B46">
        <w:rPr>
          <w:i/>
          <w:iCs/>
          <w:sz w:val="24"/>
          <w:szCs w:val="24"/>
          <w:highlight w:val="white"/>
          <w:lang w:val="es-CL"/>
        </w:rPr>
        <w:t xml:space="preserve"> J </w:t>
      </w:r>
      <w:proofErr w:type="spellStart"/>
      <w:r w:rsidRPr="009D3B46">
        <w:rPr>
          <w:i/>
          <w:iCs/>
          <w:sz w:val="24"/>
          <w:szCs w:val="24"/>
          <w:highlight w:val="white"/>
          <w:lang w:val="es-CL"/>
        </w:rPr>
        <w:t>Nucl</w:t>
      </w:r>
      <w:proofErr w:type="spellEnd"/>
      <w:r w:rsidRPr="009D3B46">
        <w:rPr>
          <w:i/>
          <w:iCs/>
          <w:sz w:val="24"/>
          <w:szCs w:val="24"/>
          <w:highlight w:val="white"/>
          <w:lang w:val="es-CL"/>
        </w:rPr>
        <w:t xml:space="preserve"> </w:t>
      </w:r>
      <w:proofErr w:type="spellStart"/>
      <w:r w:rsidRPr="009D3B46">
        <w:rPr>
          <w:i/>
          <w:iCs/>
          <w:sz w:val="24"/>
          <w:szCs w:val="24"/>
          <w:highlight w:val="white"/>
          <w:lang w:val="es-CL"/>
        </w:rPr>
        <w:t>Med</w:t>
      </w:r>
      <w:proofErr w:type="spellEnd"/>
      <w:r w:rsidRPr="009D3B46">
        <w:rPr>
          <w:i/>
          <w:iCs/>
          <w:sz w:val="24"/>
          <w:szCs w:val="24"/>
          <w:highlight w:val="white"/>
          <w:lang w:val="es-CL"/>
        </w:rPr>
        <w:t xml:space="preserve"> Mol </w:t>
      </w:r>
      <w:proofErr w:type="spellStart"/>
      <w:r w:rsidRPr="009D3B46">
        <w:rPr>
          <w:i/>
          <w:iCs/>
          <w:sz w:val="24"/>
          <w:szCs w:val="24"/>
          <w:highlight w:val="white"/>
          <w:lang w:val="es-CL"/>
        </w:rPr>
        <w:t>Imaging</w:t>
      </w:r>
      <w:proofErr w:type="spellEnd"/>
      <w:r w:rsidRPr="009D3B46">
        <w:rPr>
          <w:sz w:val="24"/>
          <w:szCs w:val="24"/>
          <w:highlight w:val="white"/>
          <w:lang w:val="es-CL"/>
        </w:rPr>
        <w:t>. 2025;52(10):3744-56. doi:10.1007/s00259-025-06669-3.</w:t>
      </w:r>
    </w:p>
    <w:p w14:paraId="797EEB40" w14:textId="77777777" w:rsidR="009D3B46" w:rsidRPr="009D3B46" w:rsidRDefault="009D3B46" w:rsidP="009D3B46">
      <w:pPr>
        <w:spacing w:after="240" w:line="480" w:lineRule="auto"/>
        <w:ind w:left="384"/>
        <w:rPr>
          <w:sz w:val="24"/>
          <w:szCs w:val="24"/>
          <w:highlight w:val="white"/>
          <w:lang w:val="es-CL"/>
        </w:rPr>
      </w:pPr>
      <w:r w:rsidRPr="009D3B46">
        <w:rPr>
          <w:b/>
          <w:bCs/>
          <w:sz w:val="24"/>
          <w:szCs w:val="24"/>
          <w:highlight w:val="white"/>
          <w:lang w:val="es-CL"/>
        </w:rPr>
        <w:t>16.</w:t>
      </w:r>
      <w:r w:rsidRPr="009D3B46">
        <w:rPr>
          <w:sz w:val="24"/>
          <w:szCs w:val="24"/>
          <w:highlight w:val="white"/>
          <w:lang w:val="es-CL"/>
        </w:rPr>
        <w:t xml:space="preserve"> </w:t>
      </w:r>
      <w:proofErr w:type="spellStart"/>
      <w:r w:rsidRPr="009D3B46">
        <w:rPr>
          <w:sz w:val="24"/>
          <w:szCs w:val="24"/>
          <w:highlight w:val="white"/>
          <w:lang w:val="es-CL"/>
        </w:rPr>
        <w:t>Sordelli</w:t>
      </w:r>
      <w:proofErr w:type="spellEnd"/>
      <w:r w:rsidRPr="009D3B46">
        <w:rPr>
          <w:sz w:val="24"/>
          <w:szCs w:val="24"/>
          <w:highlight w:val="white"/>
          <w:lang w:val="es-CL"/>
        </w:rPr>
        <w:t xml:space="preserve"> F, </w:t>
      </w:r>
      <w:proofErr w:type="spellStart"/>
      <w:r w:rsidRPr="009D3B46">
        <w:rPr>
          <w:sz w:val="24"/>
          <w:szCs w:val="24"/>
          <w:highlight w:val="white"/>
          <w:lang w:val="es-CL"/>
        </w:rPr>
        <w:t>Frego</w:t>
      </w:r>
      <w:proofErr w:type="spellEnd"/>
      <w:r w:rsidRPr="009D3B46">
        <w:rPr>
          <w:sz w:val="24"/>
          <w:szCs w:val="24"/>
          <w:highlight w:val="white"/>
          <w:lang w:val="es-CL"/>
        </w:rPr>
        <w:t xml:space="preserve"> N, </w:t>
      </w:r>
      <w:proofErr w:type="spellStart"/>
      <w:r w:rsidRPr="009D3B46">
        <w:rPr>
          <w:sz w:val="24"/>
          <w:szCs w:val="24"/>
          <w:highlight w:val="white"/>
          <w:lang w:val="es-CL"/>
        </w:rPr>
        <w:t>Fasulo</w:t>
      </w:r>
      <w:proofErr w:type="spellEnd"/>
      <w:r w:rsidRPr="009D3B46">
        <w:rPr>
          <w:sz w:val="24"/>
          <w:szCs w:val="24"/>
          <w:highlight w:val="white"/>
          <w:lang w:val="es-CL"/>
        </w:rPr>
        <w:t xml:space="preserve"> V, Arena P, </w:t>
      </w:r>
      <w:proofErr w:type="spellStart"/>
      <w:r w:rsidRPr="009D3B46">
        <w:rPr>
          <w:sz w:val="24"/>
          <w:szCs w:val="24"/>
          <w:highlight w:val="white"/>
          <w:lang w:val="es-CL"/>
        </w:rPr>
        <w:t>Beatrici</w:t>
      </w:r>
      <w:proofErr w:type="spellEnd"/>
      <w:r w:rsidRPr="009D3B46">
        <w:rPr>
          <w:sz w:val="24"/>
          <w:szCs w:val="24"/>
          <w:highlight w:val="white"/>
          <w:lang w:val="es-CL"/>
        </w:rPr>
        <w:t xml:space="preserve"> E, </w:t>
      </w:r>
      <w:proofErr w:type="spellStart"/>
      <w:r w:rsidRPr="009D3B46">
        <w:rPr>
          <w:sz w:val="24"/>
          <w:szCs w:val="24"/>
          <w:highlight w:val="white"/>
          <w:lang w:val="es-CL"/>
        </w:rPr>
        <w:t>Chiarelli</w:t>
      </w:r>
      <w:proofErr w:type="spellEnd"/>
      <w:r w:rsidRPr="009D3B46">
        <w:rPr>
          <w:sz w:val="24"/>
          <w:szCs w:val="24"/>
          <w:highlight w:val="white"/>
          <w:lang w:val="es-CL"/>
        </w:rPr>
        <w:t xml:space="preserve"> G, et al. EXTERNAL VALIDATION OF THE AMSTERDAM-BRISBANE-SYDNEY NOMOGRAM FOR THE PREDICTION OF LYMPH NODE INVASION IN PROSTATE CANCER. </w:t>
      </w:r>
      <w:r w:rsidRPr="009D3B46">
        <w:rPr>
          <w:i/>
          <w:iCs/>
          <w:sz w:val="24"/>
          <w:szCs w:val="24"/>
          <w:highlight w:val="white"/>
          <w:lang w:val="es-CL"/>
        </w:rPr>
        <w:t xml:space="preserve">J </w:t>
      </w:r>
      <w:proofErr w:type="spellStart"/>
      <w:r w:rsidRPr="009D3B46">
        <w:rPr>
          <w:i/>
          <w:iCs/>
          <w:sz w:val="24"/>
          <w:szCs w:val="24"/>
          <w:highlight w:val="white"/>
          <w:lang w:val="es-CL"/>
        </w:rPr>
        <w:t>Urol</w:t>
      </w:r>
      <w:proofErr w:type="spellEnd"/>
      <w:r w:rsidRPr="009D3B46">
        <w:rPr>
          <w:sz w:val="24"/>
          <w:szCs w:val="24"/>
          <w:highlight w:val="white"/>
          <w:lang w:val="es-CL"/>
        </w:rPr>
        <w:t xml:space="preserve">. 2024;211(5S). Disponible en: </w:t>
      </w:r>
      <w:hyperlink r:id="rId31" w:tgtFrame="_new" w:history="1">
        <w:r w:rsidRPr="009D3B46">
          <w:rPr>
            <w:rStyle w:val="Hipervnculo"/>
            <w:sz w:val="24"/>
            <w:szCs w:val="24"/>
            <w:highlight w:val="white"/>
            <w:lang w:val="es-CL"/>
          </w:rPr>
          <w:t>http://www.auajournals.org/doi/10.1097/01.JU.0001008792.09108.b4.07</w:t>
        </w:r>
      </w:hyperlink>
      <w:r w:rsidRPr="009D3B46">
        <w:rPr>
          <w:sz w:val="24"/>
          <w:szCs w:val="24"/>
          <w:highlight w:val="white"/>
          <w:lang w:val="es-CL"/>
        </w:rPr>
        <w:t>.</w:t>
      </w:r>
    </w:p>
    <w:p w14:paraId="1513E18D" w14:textId="77777777" w:rsidR="009D3B46" w:rsidRPr="009D3B46" w:rsidRDefault="009D3B46" w:rsidP="009D3B46">
      <w:pPr>
        <w:spacing w:after="240" w:line="480" w:lineRule="auto"/>
        <w:ind w:left="384"/>
        <w:rPr>
          <w:sz w:val="24"/>
          <w:szCs w:val="24"/>
          <w:highlight w:val="white"/>
          <w:lang w:val="es-CL"/>
        </w:rPr>
      </w:pPr>
      <w:r w:rsidRPr="009D3B46">
        <w:rPr>
          <w:b/>
          <w:bCs/>
          <w:sz w:val="24"/>
          <w:szCs w:val="24"/>
          <w:highlight w:val="white"/>
          <w:lang w:val="es-CL"/>
        </w:rPr>
        <w:t>17.</w:t>
      </w:r>
      <w:r w:rsidRPr="009D3B46">
        <w:rPr>
          <w:sz w:val="24"/>
          <w:szCs w:val="24"/>
          <w:highlight w:val="white"/>
          <w:lang w:val="es-CL"/>
        </w:rPr>
        <w:t xml:space="preserve"> Labra-</w:t>
      </w:r>
      <w:proofErr w:type="spellStart"/>
      <w:r w:rsidRPr="009D3B46">
        <w:rPr>
          <w:sz w:val="24"/>
          <w:szCs w:val="24"/>
          <w:highlight w:val="white"/>
          <w:lang w:val="es-CL"/>
        </w:rPr>
        <w:t>Weitzler</w:t>
      </w:r>
      <w:proofErr w:type="spellEnd"/>
      <w:r w:rsidRPr="009D3B46">
        <w:rPr>
          <w:sz w:val="24"/>
          <w:szCs w:val="24"/>
          <w:highlight w:val="white"/>
          <w:lang w:val="es-CL"/>
        </w:rPr>
        <w:t xml:space="preserve"> A, Cifuentes-Jiménez C, </w:t>
      </w:r>
      <w:proofErr w:type="spellStart"/>
      <w:r w:rsidRPr="009D3B46">
        <w:rPr>
          <w:sz w:val="24"/>
          <w:szCs w:val="24"/>
          <w:highlight w:val="white"/>
          <w:lang w:val="es-CL"/>
        </w:rPr>
        <w:t>Constenla</w:t>
      </w:r>
      <w:proofErr w:type="spellEnd"/>
      <w:r w:rsidRPr="009D3B46">
        <w:rPr>
          <w:sz w:val="24"/>
          <w:szCs w:val="24"/>
          <w:highlight w:val="white"/>
          <w:lang w:val="es-CL"/>
        </w:rPr>
        <w:t xml:space="preserve">-Vásquez D, Orvieto-Sagredo M, Pinochet-Fuenzalida R, </w:t>
      </w:r>
      <w:proofErr w:type="spellStart"/>
      <w:r w:rsidRPr="009D3B46">
        <w:rPr>
          <w:sz w:val="24"/>
          <w:szCs w:val="24"/>
          <w:highlight w:val="white"/>
          <w:lang w:val="es-CL"/>
        </w:rPr>
        <w:t>Souper</w:t>
      </w:r>
      <w:proofErr w:type="spellEnd"/>
      <w:r w:rsidRPr="009D3B46">
        <w:rPr>
          <w:sz w:val="24"/>
          <w:szCs w:val="24"/>
          <w:highlight w:val="white"/>
          <w:lang w:val="es-CL"/>
        </w:rPr>
        <w:t xml:space="preserve">-Moreno R, et al. Validación del nomograma de Briganti-2018 en una cohorte chilena. </w:t>
      </w:r>
      <w:proofErr w:type="spellStart"/>
      <w:r w:rsidRPr="009D3B46">
        <w:rPr>
          <w:i/>
          <w:iCs/>
          <w:sz w:val="24"/>
          <w:szCs w:val="24"/>
          <w:highlight w:val="white"/>
          <w:lang w:val="es-CL"/>
        </w:rPr>
        <w:t>Rev</w:t>
      </w:r>
      <w:proofErr w:type="spellEnd"/>
      <w:r w:rsidRPr="009D3B46">
        <w:rPr>
          <w:i/>
          <w:iCs/>
          <w:sz w:val="24"/>
          <w:szCs w:val="24"/>
          <w:highlight w:val="white"/>
          <w:lang w:val="es-CL"/>
        </w:rPr>
        <w:t xml:space="preserve"> </w:t>
      </w:r>
      <w:proofErr w:type="spellStart"/>
      <w:r w:rsidRPr="009D3B46">
        <w:rPr>
          <w:i/>
          <w:iCs/>
          <w:sz w:val="24"/>
          <w:szCs w:val="24"/>
          <w:highlight w:val="white"/>
          <w:lang w:val="es-CL"/>
        </w:rPr>
        <w:t>Chil</w:t>
      </w:r>
      <w:proofErr w:type="spellEnd"/>
      <w:r w:rsidRPr="009D3B46">
        <w:rPr>
          <w:i/>
          <w:iCs/>
          <w:sz w:val="24"/>
          <w:szCs w:val="24"/>
          <w:highlight w:val="white"/>
          <w:lang w:val="es-CL"/>
        </w:rPr>
        <w:t xml:space="preserve"> </w:t>
      </w:r>
      <w:proofErr w:type="spellStart"/>
      <w:r w:rsidRPr="009D3B46">
        <w:rPr>
          <w:i/>
          <w:iCs/>
          <w:sz w:val="24"/>
          <w:szCs w:val="24"/>
          <w:highlight w:val="white"/>
          <w:lang w:val="es-CL"/>
        </w:rPr>
        <w:t>Urol</w:t>
      </w:r>
      <w:proofErr w:type="spellEnd"/>
      <w:r w:rsidRPr="009D3B46">
        <w:rPr>
          <w:sz w:val="24"/>
          <w:szCs w:val="24"/>
          <w:highlight w:val="white"/>
          <w:lang w:val="es-CL"/>
        </w:rPr>
        <w:t>. 2023;88(2):11255.</w:t>
      </w:r>
    </w:p>
    <w:p w14:paraId="36C095E5" w14:textId="77777777" w:rsidR="009D3B46" w:rsidRPr="009D3B46" w:rsidRDefault="009D3B46" w:rsidP="009D3B46">
      <w:pPr>
        <w:spacing w:after="240" w:line="480" w:lineRule="auto"/>
        <w:ind w:left="384"/>
        <w:rPr>
          <w:sz w:val="24"/>
          <w:szCs w:val="24"/>
          <w:highlight w:val="white"/>
          <w:lang w:val="es-CL"/>
        </w:rPr>
      </w:pPr>
      <w:r w:rsidRPr="009D3B46">
        <w:rPr>
          <w:b/>
          <w:bCs/>
          <w:sz w:val="24"/>
          <w:szCs w:val="24"/>
          <w:highlight w:val="white"/>
          <w:lang w:val="es-CL"/>
        </w:rPr>
        <w:t>18.</w:t>
      </w:r>
      <w:r w:rsidRPr="009D3B46">
        <w:rPr>
          <w:sz w:val="24"/>
          <w:szCs w:val="24"/>
          <w:highlight w:val="white"/>
          <w:lang w:val="es-CL"/>
        </w:rPr>
        <w:t xml:space="preserve"> </w:t>
      </w:r>
      <w:proofErr w:type="spellStart"/>
      <w:r w:rsidRPr="009D3B46">
        <w:rPr>
          <w:sz w:val="24"/>
          <w:szCs w:val="24"/>
          <w:highlight w:val="white"/>
          <w:lang w:val="es-CL"/>
        </w:rPr>
        <w:t>Ingvar</w:t>
      </w:r>
      <w:proofErr w:type="spellEnd"/>
      <w:r w:rsidRPr="009D3B46">
        <w:rPr>
          <w:sz w:val="24"/>
          <w:szCs w:val="24"/>
          <w:highlight w:val="white"/>
          <w:lang w:val="es-CL"/>
        </w:rPr>
        <w:t xml:space="preserve"> J, </w:t>
      </w:r>
      <w:proofErr w:type="spellStart"/>
      <w:r w:rsidRPr="009D3B46">
        <w:rPr>
          <w:sz w:val="24"/>
          <w:szCs w:val="24"/>
          <w:highlight w:val="white"/>
          <w:lang w:val="es-CL"/>
        </w:rPr>
        <w:t>Hvittfeldt</w:t>
      </w:r>
      <w:proofErr w:type="spellEnd"/>
      <w:r w:rsidRPr="009D3B46">
        <w:rPr>
          <w:sz w:val="24"/>
          <w:szCs w:val="24"/>
          <w:highlight w:val="white"/>
          <w:lang w:val="es-CL"/>
        </w:rPr>
        <w:t xml:space="preserve"> E, </w:t>
      </w:r>
      <w:proofErr w:type="spellStart"/>
      <w:r w:rsidRPr="009D3B46">
        <w:rPr>
          <w:sz w:val="24"/>
          <w:szCs w:val="24"/>
          <w:highlight w:val="white"/>
          <w:lang w:val="es-CL"/>
        </w:rPr>
        <w:t>Trägårdh</w:t>
      </w:r>
      <w:proofErr w:type="spellEnd"/>
      <w:r w:rsidRPr="009D3B46">
        <w:rPr>
          <w:sz w:val="24"/>
          <w:szCs w:val="24"/>
          <w:highlight w:val="white"/>
          <w:lang w:val="es-CL"/>
        </w:rPr>
        <w:t xml:space="preserve"> E, </w:t>
      </w:r>
      <w:proofErr w:type="spellStart"/>
      <w:r w:rsidRPr="009D3B46">
        <w:rPr>
          <w:sz w:val="24"/>
          <w:szCs w:val="24"/>
          <w:highlight w:val="white"/>
          <w:lang w:val="es-CL"/>
        </w:rPr>
        <w:t>Simoulis</w:t>
      </w:r>
      <w:proofErr w:type="spellEnd"/>
      <w:r w:rsidRPr="009D3B46">
        <w:rPr>
          <w:sz w:val="24"/>
          <w:szCs w:val="24"/>
          <w:highlight w:val="white"/>
          <w:lang w:val="es-CL"/>
        </w:rPr>
        <w:t xml:space="preserve"> A, </w:t>
      </w:r>
      <w:proofErr w:type="spellStart"/>
      <w:r w:rsidRPr="009D3B46">
        <w:rPr>
          <w:sz w:val="24"/>
          <w:szCs w:val="24"/>
          <w:highlight w:val="white"/>
          <w:lang w:val="es-CL"/>
        </w:rPr>
        <w:t>Bjartell</w:t>
      </w:r>
      <w:proofErr w:type="spellEnd"/>
      <w:r w:rsidRPr="009D3B46">
        <w:rPr>
          <w:sz w:val="24"/>
          <w:szCs w:val="24"/>
          <w:highlight w:val="white"/>
          <w:lang w:val="es-CL"/>
        </w:rPr>
        <w:t xml:space="preserve"> A. </w:t>
      </w:r>
      <w:proofErr w:type="spellStart"/>
      <w:r w:rsidRPr="009D3B46">
        <w:rPr>
          <w:sz w:val="24"/>
          <w:szCs w:val="24"/>
          <w:highlight w:val="white"/>
          <w:lang w:val="es-CL"/>
        </w:rPr>
        <w:t>Assessing</w:t>
      </w:r>
      <w:proofErr w:type="spellEnd"/>
      <w:r w:rsidRPr="009D3B46">
        <w:rPr>
          <w:sz w:val="24"/>
          <w:szCs w:val="24"/>
          <w:highlight w:val="white"/>
          <w:lang w:val="es-CL"/>
        </w:rPr>
        <w:t xml:space="preserve"> </w:t>
      </w:r>
      <w:proofErr w:type="spellStart"/>
      <w:r w:rsidRPr="009D3B46">
        <w:rPr>
          <w:sz w:val="24"/>
          <w:szCs w:val="24"/>
          <w:highlight w:val="white"/>
          <w:lang w:val="es-CL"/>
        </w:rPr>
        <w:t>the</w:t>
      </w:r>
      <w:proofErr w:type="spellEnd"/>
      <w:r w:rsidRPr="009D3B46">
        <w:rPr>
          <w:sz w:val="24"/>
          <w:szCs w:val="24"/>
          <w:highlight w:val="white"/>
          <w:lang w:val="es-CL"/>
        </w:rPr>
        <w:t xml:space="preserve"> </w:t>
      </w:r>
      <w:proofErr w:type="spellStart"/>
      <w:r w:rsidRPr="009D3B46">
        <w:rPr>
          <w:sz w:val="24"/>
          <w:szCs w:val="24"/>
          <w:highlight w:val="white"/>
          <w:lang w:val="es-CL"/>
        </w:rPr>
        <w:t>accuracy</w:t>
      </w:r>
      <w:proofErr w:type="spellEnd"/>
      <w:r w:rsidRPr="009D3B46">
        <w:rPr>
          <w:sz w:val="24"/>
          <w:szCs w:val="24"/>
          <w:highlight w:val="white"/>
          <w:lang w:val="es-CL"/>
        </w:rPr>
        <w:t xml:space="preserve"> </w:t>
      </w:r>
      <w:proofErr w:type="spellStart"/>
      <w:r w:rsidRPr="009D3B46">
        <w:rPr>
          <w:sz w:val="24"/>
          <w:szCs w:val="24"/>
          <w:highlight w:val="white"/>
          <w:lang w:val="es-CL"/>
        </w:rPr>
        <w:t>of</w:t>
      </w:r>
      <w:proofErr w:type="spellEnd"/>
      <w:r w:rsidRPr="009D3B46">
        <w:rPr>
          <w:sz w:val="24"/>
          <w:szCs w:val="24"/>
          <w:highlight w:val="white"/>
          <w:lang w:val="es-CL"/>
        </w:rPr>
        <w:t xml:space="preserve"> [18F]PSMA-1007 PET/CT </w:t>
      </w:r>
      <w:proofErr w:type="spellStart"/>
      <w:r w:rsidRPr="009D3B46">
        <w:rPr>
          <w:sz w:val="24"/>
          <w:szCs w:val="24"/>
          <w:highlight w:val="white"/>
          <w:lang w:val="es-CL"/>
        </w:rPr>
        <w:t>for</w:t>
      </w:r>
      <w:proofErr w:type="spellEnd"/>
      <w:r w:rsidRPr="009D3B46">
        <w:rPr>
          <w:sz w:val="24"/>
          <w:szCs w:val="24"/>
          <w:highlight w:val="white"/>
          <w:lang w:val="es-CL"/>
        </w:rPr>
        <w:t xml:space="preserve"> </w:t>
      </w:r>
      <w:proofErr w:type="spellStart"/>
      <w:r w:rsidRPr="009D3B46">
        <w:rPr>
          <w:sz w:val="24"/>
          <w:szCs w:val="24"/>
          <w:highlight w:val="white"/>
          <w:lang w:val="es-CL"/>
        </w:rPr>
        <w:t>primary</w:t>
      </w:r>
      <w:proofErr w:type="spellEnd"/>
      <w:r w:rsidRPr="009D3B46">
        <w:rPr>
          <w:sz w:val="24"/>
          <w:szCs w:val="24"/>
          <w:highlight w:val="white"/>
          <w:lang w:val="es-CL"/>
        </w:rPr>
        <w:t xml:space="preserve"> </w:t>
      </w:r>
      <w:proofErr w:type="spellStart"/>
      <w:r w:rsidRPr="009D3B46">
        <w:rPr>
          <w:sz w:val="24"/>
          <w:szCs w:val="24"/>
          <w:highlight w:val="white"/>
          <w:lang w:val="es-CL"/>
        </w:rPr>
        <w:t>staging</w:t>
      </w:r>
      <w:proofErr w:type="spellEnd"/>
      <w:r w:rsidRPr="009D3B46">
        <w:rPr>
          <w:sz w:val="24"/>
          <w:szCs w:val="24"/>
          <w:highlight w:val="white"/>
          <w:lang w:val="es-CL"/>
        </w:rPr>
        <w:t xml:space="preserve"> </w:t>
      </w:r>
      <w:proofErr w:type="spellStart"/>
      <w:r w:rsidRPr="009D3B46">
        <w:rPr>
          <w:sz w:val="24"/>
          <w:szCs w:val="24"/>
          <w:highlight w:val="white"/>
          <w:lang w:val="es-CL"/>
        </w:rPr>
        <w:t>of</w:t>
      </w:r>
      <w:proofErr w:type="spellEnd"/>
      <w:r w:rsidRPr="009D3B46">
        <w:rPr>
          <w:sz w:val="24"/>
          <w:szCs w:val="24"/>
          <w:highlight w:val="white"/>
          <w:lang w:val="es-CL"/>
        </w:rPr>
        <w:t xml:space="preserve"> </w:t>
      </w:r>
      <w:proofErr w:type="spellStart"/>
      <w:r w:rsidRPr="009D3B46">
        <w:rPr>
          <w:sz w:val="24"/>
          <w:szCs w:val="24"/>
          <w:highlight w:val="white"/>
          <w:lang w:val="es-CL"/>
        </w:rPr>
        <w:t>lymph</w:t>
      </w:r>
      <w:proofErr w:type="spellEnd"/>
      <w:r w:rsidRPr="009D3B46">
        <w:rPr>
          <w:sz w:val="24"/>
          <w:szCs w:val="24"/>
          <w:highlight w:val="white"/>
          <w:lang w:val="es-CL"/>
        </w:rPr>
        <w:t xml:space="preserve"> </w:t>
      </w:r>
      <w:proofErr w:type="spellStart"/>
      <w:r w:rsidRPr="009D3B46">
        <w:rPr>
          <w:sz w:val="24"/>
          <w:szCs w:val="24"/>
          <w:highlight w:val="white"/>
          <w:lang w:val="es-CL"/>
        </w:rPr>
        <w:t>node</w:t>
      </w:r>
      <w:proofErr w:type="spellEnd"/>
      <w:r w:rsidRPr="009D3B46">
        <w:rPr>
          <w:sz w:val="24"/>
          <w:szCs w:val="24"/>
          <w:highlight w:val="white"/>
          <w:lang w:val="es-CL"/>
        </w:rPr>
        <w:t xml:space="preserve"> </w:t>
      </w:r>
      <w:proofErr w:type="spellStart"/>
      <w:r w:rsidRPr="009D3B46">
        <w:rPr>
          <w:sz w:val="24"/>
          <w:szCs w:val="24"/>
          <w:highlight w:val="white"/>
          <w:lang w:val="es-CL"/>
        </w:rPr>
        <w:t>metastases</w:t>
      </w:r>
      <w:proofErr w:type="spellEnd"/>
      <w:r w:rsidRPr="009D3B46">
        <w:rPr>
          <w:sz w:val="24"/>
          <w:szCs w:val="24"/>
          <w:highlight w:val="white"/>
          <w:lang w:val="es-CL"/>
        </w:rPr>
        <w:t xml:space="preserve"> in </w:t>
      </w:r>
      <w:proofErr w:type="spellStart"/>
      <w:r w:rsidRPr="009D3B46">
        <w:rPr>
          <w:sz w:val="24"/>
          <w:szCs w:val="24"/>
          <w:highlight w:val="white"/>
          <w:lang w:val="es-CL"/>
        </w:rPr>
        <w:t>intermediate</w:t>
      </w:r>
      <w:proofErr w:type="spellEnd"/>
      <w:r w:rsidRPr="009D3B46">
        <w:rPr>
          <w:sz w:val="24"/>
          <w:szCs w:val="24"/>
          <w:highlight w:val="white"/>
          <w:lang w:val="es-CL"/>
        </w:rPr>
        <w:t xml:space="preserve">- and </w:t>
      </w:r>
      <w:proofErr w:type="spellStart"/>
      <w:r w:rsidRPr="009D3B46">
        <w:rPr>
          <w:sz w:val="24"/>
          <w:szCs w:val="24"/>
          <w:highlight w:val="white"/>
          <w:lang w:val="es-CL"/>
        </w:rPr>
        <w:t>high-risk</w:t>
      </w:r>
      <w:proofErr w:type="spellEnd"/>
      <w:r w:rsidRPr="009D3B46">
        <w:rPr>
          <w:sz w:val="24"/>
          <w:szCs w:val="24"/>
          <w:highlight w:val="white"/>
          <w:lang w:val="es-CL"/>
        </w:rPr>
        <w:t xml:space="preserve"> </w:t>
      </w:r>
      <w:proofErr w:type="spellStart"/>
      <w:r w:rsidRPr="009D3B46">
        <w:rPr>
          <w:sz w:val="24"/>
          <w:szCs w:val="24"/>
          <w:highlight w:val="white"/>
          <w:lang w:val="es-CL"/>
        </w:rPr>
        <w:t>prostate</w:t>
      </w:r>
      <w:proofErr w:type="spellEnd"/>
      <w:r w:rsidRPr="009D3B46">
        <w:rPr>
          <w:sz w:val="24"/>
          <w:szCs w:val="24"/>
          <w:highlight w:val="white"/>
          <w:lang w:val="es-CL"/>
        </w:rPr>
        <w:t xml:space="preserve"> </w:t>
      </w:r>
      <w:proofErr w:type="spellStart"/>
      <w:r w:rsidRPr="009D3B46">
        <w:rPr>
          <w:sz w:val="24"/>
          <w:szCs w:val="24"/>
          <w:highlight w:val="white"/>
          <w:lang w:val="es-CL"/>
        </w:rPr>
        <w:t>cancer</w:t>
      </w:r>
      <w:proofErr w:type="spellEnd"/>
      <w:r w:rsidRPr="009D3B46">
        <w:rPr>
          <w:sz w:val="24"/>
          <w:szCs w:val="24"/>
          <w:highlight w:val="white"/>
          <w:lang w:val="es-CL"/>
        </w:rPr>
        <w:t xml:space="preserve"> </w:t>
      </w:r>
      <w:proofErr w:type="spellStart"/>
      <w:r w:rsidRPr="009D3B46">
        <w:rPr>
          <w:sz w:val="24"/>
          <w:szCs w:val="24"/>
          <w:highlight w:val="white"/>
          <w:lang w:val="es-CL"/>
        </w:rPr>
        <w:t>patients</w:t>
      </w:r>
      <w:proofErr w:type="spellEnd"/>
      <w:r w:rsidRPr="009D3B46">
        <w:rPr>
          <w:sz w:val="24"/>
          <w:szCs w:val="24"/>
          <w:highlight w:val="white"/>
          <w:lang w:val="es-CL"/>
        </w:rPr>
        <w:t xml:space="preserve">. </w:t>
      </w:r>
      <w:r w:rsidRPr="009D3B46">
        <w:rPr>
          <w:i/>
          <w:iCs/>
          <w:sz w:val="24"/>
          <w:szCs w:val="24"/>
          <w:highlight w:val="white"/>
          <w:lang w:val="es-CL"/>
        </w:rPr>
        <w:t>EJNMMI Res</w:t>
      </w:r>
      <w:r w:rsidRPr="009D3B46">
        <w:rPr>
          <w:sz w:val="24"/>
          <w:szCs w:val="24"/>
          <w:highlight w:val="white"/>
          <w:lang w:val="es-CL"/>
        </w:rPr>
        <w:t>. 2022;12(1):48. doi:10.1186/s13550-022-00929-2.</w:t>
      </w:r>
    </w:p>
    <w:p w14:paraId="15434A76" w14:textId="77777777" w:rsidR="009D3B46" w:rsidRPr="009D3B46" w:rsidRDefault="009D3B46" w:rsidP="009D3B46">
      <w:pPr>
        <w:spacing w:after="240" w:line="480" w:lineRule="auto"/>
        <w:ind w:left="384"/>
        <w:rPr>
          <w:sz w:val="24"/>
          <w:szCs w:val="24"/>
          <w:highlight w:val="white"/>
          <w:lang w:val="es-CL"/>
        </w:rPr>
      </w:pPr>
      <w:r w:rsidRPr="009D3B46">
        <w:rPr>
          <w:b/>
          <w:bCs/>
          <w:sz w:val="24"/>
          <w:szCs w:val="24"/>
          <w:highlight w:val="white"/>
          <w:lang w:val="es-CL"/>
        </w:rPr>
        <w:t>19.</w:t>
      </w:r>
      <w:r w:rsidRPr="009D3B46">
        <w:rPr>
          <w:sz w:val="24"/>
          <w:szCs w:val="24"/>
          <w:highlight w:val="white"/>
          <w:lang w:val="es-CL"/>
        </w:rPr>
        <w:t xml:space="preserve"> </w:t>
      </w:r>
      <w:proofErr w:type="spellStart"/>
      <w:r w:rsidRPr="009D3B46">
        <w:rPr>
          <w:sz w:val="24"/>
          <w:szCs w:val="24"/>
          <w:highlight w:val="white"/>
          <w:lang w:val="es-CL"/>
        </w:rPr>
        <w:t>Mazzone</w:t>
      </w:r>
      <w:proofErr w:type="spellEnd"/>
      <w:r w:rsidRPr="009D3B46">
        <w:rPr>
          <w:sz w:val="24"/>
          <w:szCs w:val="24"/>
          <w:highlight w:val="white"/>
          <w:lang w:val="es-CL"/>
        </w:rPr>
        <w:t xml:space="preserve"> E, </w:t>
      </w:r>
      <w:proofErr w:type="spellStart"/>
      <w:r w:rsidRPr="009D3B46">
        <w:rPr>
          <w:sz w:val="24"/>
          <w:szCs w:val="24"/>
          <w:highlight w:val="white"/>
          <w:lang w:val="es-CL"/>
        </w:rPr>
        <w:t>Cannoletta</w:t>
      </w:r>
      <w:proofErr w:type="spellEnd"/>
      <w:r w:rsidRPr="009D3B46">
        <w:rPr>
          <w:sz w:val="24"/>
          <w:szCs w:val="24"/>
          <w:highlight w:val="white"/>
          <w:lang w:val="es-CL"/>
        </w:rPr>
        <w:t xml:space="preserve"> D, </w:t>
      </w:r>
      <w:proofErr w:type="spellStart"/>
      <w:r w:rsidRPr="009D3B46">
        <w:rPr>
          <w:sz w:val="24"/>
          <w:szCs w:val="24"/>
          <w:highlight w:val="white"/>
          <w:lang w:val="es-CL"/>
        </w:rPr>
        <w:t>Quarta</w:t>
      </w:r>
      <w:proofErr w:type="spellEnd"/>
      <w:r w:rsidRPr="009D3B46">
        <w:rPr>
          <w:sz w:val="24"/>
          <w:szCs w:val="24"/>
          <w:highlight w:val="white"/>
          <w:lang w:val="es-CL"/>
        </w:rPr>
        <w:t xml:space="preserve"> L, Chen DC, Thomson A, </w:t>
      </w:r>
      <w:proofErr w:type="spellStart"/>
      <w:r w:rsidRPr="009D3B46">
        <w:rPr>
          <w:sz w:val="24"/>
          <w:szCs w:val="24"/>
          <w:highlight w:val="white"/>
          <w:lang w:val="es-CL"/>
        </w:rPr>
        <w:t>Barletta</w:t>
      </w:r>
      <w:proofErr w:type="spellEnd"/>
      <w:r w:rsidRPr="009D3B46">
        <w:rPr>
          <w:sz w:val="24"/>
          <w:szCs w:val="24"/>
          <w:highlight w:val="white"/>
          <w:lang w:val="es-CL"/>
        </w:rPr>
        <w:t xml:space="preserve"> F, et al. A comprehensive </w:t>
      </w:r>
      <w:proofErr w:type="spellStart"/>
      <w:r w:rsidRPr="009D3B46">
        <w:rPr>
          <w:sz w:val="24"/>
          <w:szCs w:val="24"/>
          <w:highlight w:val="white"/>
          <w:lang w:val="es-CL"/>
        </w:rPr>
        <w:t>systematic</w:t>
      </w:r>
      <w:proofErr w:type="spellEnd"/>
      <w:r w:rsidRPr="009D3B46">
        <w:rPr>
          <w:sz w:val="24"/>
          <w:szCs w:val="24"/>
          <w:highlight w:val="white"/>
          <w:lang w:val="es-CL"/>
        </w:rPr>
        <w:t xml:space="preserve"> </w:t>
      </w:r>
      <w:proofErr w:type="spellStart"/>
      <w:r w:rsidRPr="009D3B46">
        <w:rPr>
          <w:sz w:val="24"/>
          <w:szCs w:val="24"/>
          <w:highlight w:val="white"/>
          <w:lang w:val="es-CL"/>
        </w:rPr>
        <w:t>review</w:t>
      </w:r>
      <w:proofErr w:type="spellEnd"/>
      <w:r w:rsidRPr="009D3B46">
        <w:rPr>
          <w:sz w:val="24"/>
          <w:szCs w:val="24"/>
          <w:highlight w:val="white"/>
          <w:lang w:val="es-CL"/>
        </w:rPr>
        <w:t xml:space="preserve"> and meta-</w:t>
      </w:r>
      <w:proofErr w:type="spellStart"/>
      <w:r w:rsidRPr="009D3B46">
        <w:rPr>
          <w:sz w:val="24"/>
          <w:szCs w:val="24"/>
          <w:highlight w:val="white"/>
          <w:lang w:val="es-CL"/>
        </w:rPr>
        <w:t>analysis</w:t>
      </w:r>
      <w:proofErr w:type="spellEnd"/>
      <w:r w:rsidRPr="009D3B46">
        <w:rPr>
          <w:sz w:val="24"/>
          <w:szCs w:val="24"/>
          <w:highlight w:val="white"/>
          <w:lang w:val="es-CL"/>
        </w:rPr>
        <w:t xml:space="preserve"> </w:t>
      </w:r>
      <w:proofErr w:type="spellStart"/>
      <w:r w:rsidRPr="009D3B46">
        <w:rPr>
          <w:sz w:val="24"/>
          <w:szCs w:val="24"/>
          <w:highlight w:val="white"/>
          <w:lang w:val="es-CL"/>
        </w:rPr>
        <w:t>of</w:t>
      </w:r>
      <w:proofErr w:type="spellEnd"/>
      <w:r w:rsidRPr="009D3B46">
        <w:rPr>
          <w:sz w:val="24"/>
          <w:szCs w:val="24"/>
          <w:highlight w:val="white"/>
          <w:lang w:val="es-CL"/>
        </w:rPr>
        <w:t xml:space="preserve"> </w:t>
      </w:r>
      <w:proofErr w:type="spellStart"/>
      <w:r w:rsidRPr="009D3B46">
        <w:rPr>
          <w:sz w:val="24"/>
          <w:szCs w:val="24"/>
          <w:highlight w:val="white"/>
          <w:lang w:val="es-CL"/>
        </w:rPr>
        <w:t>the</w:t>
      </w:r>
      <w:proofErr w:type="spellEnd"/>
      <w:r w:rsidRPr="009D3B46">
        <w:rPr>
          <w:sz w:val="24"/>
          <w:szCs w:val="24"/>
          <w:highlight w:val="white"/>
          <w:lang w:val="es-CL"/>
        </w:rPr>
        <w:t xml:space="preserve"> role </w:t>
      </w:r>
      <w:proofErr w:type="spellStart"/>
      <w:r w:rsidRPr="009D3B46">
        <w:rPr>
          <w:sz w:val="24"/>
          <w:szCs w:val="24"/>
          <w:highlight w:val="white"/>
          <w:lang w:val="es-CL"/>
        </w:rPr>
        <w:t>of</w:t>
      </w:r>
      <w:proofErr w:type="spellEnd"/>
      <w:r w:rsidRPr="009D3B46">
        <w:rPr>
          <w:sz w:val="24"/>
          <w:szCs w:val="24"/>
          <w:highlight w:val="white"/>
          <w:lang w:val="es-CL"/>
        </w:rPr>
        <w:t xml:space="preserve"> PSMA PET </w:t>
      </w:r>
      <w:proofErr w:type="spellStart"/>
      <w:r w:rsidRPr="009D3B46">
        <w:rPr>
          <w:sz w:val="24"/>
          <w:szCs w:val="24"/>
          <w:highlight w:val="white"/>
          <w:lang w:val="es-CL"/>
        </w:rPr>
        <w:t>for</w:t>
      </w:r>
      <w:proofErr w:type="spellEnd"/>
      <w:r w:rsidRPr="009D3B46">
        <w:rPr>
          <w:sz w:val="24"/>
          <w:szCs w:val="24"/>
          <w:highlight w:val="white"/>
          <w:lang w:val="es-CL"/>
        </w:rPr>
        <w:t xml:space="preserve"> </w:t>
      </w:r>
      <w:proofErr w:type="spellStart"/>
      <w:r w:rsidRPr="009D3B46">
        <w:rPr>
          <w:sz w:val="24"/>
          <w:szCs w:val="24"/>
          <w:highlight w:val="white"/>
          <w:lang w:val="es-CL"/>
        </w:rPr>
        <w:t>prostate</w:t>
      </w:r>
      <w:proofErr w:type="spellEnd"/>
      <w:r w:rsidRPr="009D3B46">
        <w:rPr>
          <w:sz w:val="24"/>
          <w:szCs w:val="24"/>
          <w:highlight w:val="white"/>
          <w:lang w:val="es-CL"/>
        </w:rPr>
        <w:t xml:space="preserve"> </w:t>
      </w:r>
      <w:proofErr w:type="spellStart"/>
      <w:r w:rsidRPr="009D3B46">
        <w:rPr>
          <w:sz w:val="24"/>
          <w:szCs w:val="24"/>
          <w:highlight w:val="white"/>
          <w:lang w:val="es-CL"/>
        </w:rPr>
        <w:t>cancer</w:t>
      </w:r>
      <w:proofErr w:type="spellEnd"/>
      <w:r w:rsidRPr="009D3B46">
        <w:rPr>
          <w:sz w:val="24"/>
          <w:szCs w:val="24"/>
          <w:highlight w:val="white"/>
          <w:lang w:val="es-CL"/>
        </w:rPr>
        <w:t xml:space="preserve"> diagnosis and </w:t>
      </w:r>
      <w:proofErr w:type="spellStart"/>
      <w:r w:rsidRPr="009D3B46">
        <w:rPr>
          <w:sz w:val="24"/>
          <w:szCs w:val="24"/>
          <w:highlight w:val="white"/>
          <w:lang w:val="es-CL"/>
        </w:rPr>
        <w:t>primary</w:t>
      </w:r>
      <w:proofErr w:type="spellEnd"/>
      <w:r w:rsidRPr="009D3B46">
        <w:rPr>
          <w:sz w:val="24"/>
          <w:szCs w:val="24"/>
          <w:highlight w:val="white"/>
          <w:lang w:val="es-CL"/>
        </w:rPr>
        <w:t xml:space="preserve"> </w:t>
      </w:r>
      <w:proofErr w:type="spellStart"/>
      <w:r w:rsidRPr="009D3B46">
        <w:rPr>
          <w:sz w:val="24"/>
          <w:szCs w:val="24"/>
          <w:highlight w:val="white"/>
          <w:lang w:val="es-CL"/>
        </w:rPr>
        <w:t>staging</w:t>
      </w:r>
      <w:proofErr w:type="spellEnd"/>
      <w:r w:rsidRPr="009D3B46">
        <w:rPr>
          <w:sz w:val="24"/>
          <w:szCs w:val="24"/>
          <w:highlight w:val="white"/>
          <w:lang w:val="es-CL"/>
        </w:rPr>
        <w:t xml:space="preserve"> </w:t>
      </w:r>
      <w:proofErr w:type="spellStart"/>
      <w:r w:rsidRPr="009D3B46">
        <w:rPr>
          <w:sz w:val="24"/>
          <w:szCs w:val="24"/>
          <w:highlight w:val="white"/>
          <w:lang w:val="es-CL"/>
        </w:rPr>
        <w:t>before</w:t>
      </w:r>
      <w:proofErr w:type="spellEnd"/>
      <w:r w:rsidRPr="009D3B46">
        <w:rPr>
          <w:sz w:val="24"/>
          <w:szCs w:val="24"/>
          <w:highlight w:val="white"/>
          <w:lang w:val="es-CL"/>
        </w:rPr>
        <w:t xml:space="preserve"> definitive </w:t>
      </w:r>
      <w:proofErr w:type="spellStart"/>
      <w:r w:rsidRPr="009D3B46">
        <w:rPr>
          <w:sz w:val="24"/>
          <w:szCs w:val="24"/>
          <w:highlight w:val="white"/>
          <w:lang w:val="es-CL"/>
        </w:rPr>
        <w:t>treatment</w:t>
      </w:r>
      <w:proofErr w:type="spellEnd"/>
      <w:r w:rsidRPr="009D3B46">
        <w:rPr>
          <w:sz w:val="24"/>
          <w:szCs w:val="24"/>
          <w:highlight w:val="white"/>
          <w:lang w:val="es-CL"/>
        </w:rPr>
        <w:t xml:space="preserve">. </w:t>
      </w:r>
      <w:proofErr w:type="spellStart"/>
      <w:r w:rsidRPr="009D3B46">
        <w:rPr>
          <w:i/>
          <w:iCs/>
          <w:sz w:val="24"/>
          <w:szCs w:val="24"/>
          <w:highlight w:val="white"/>
          <w:lang w:val="es-CL"/>
        </w:rPr>
        <w:t>Eur</w:t>
      </w:r>
      <w:proofErr w:type="spellEnd"/>
      <w:r w:rsidRPr="009D3B46">
        <w:rPr>
          <w:i/>
          <w:iCs/>
          <w:sz w:val="24"/>
          <w:szCs w:val="24"/>
          <w:highlight w:val="white"/>
          <w:lang w:val="es-CL"/>
        </w:rPr>
        <w:t xml:space="preserve"> </w:t>
      </w:r>
      <w:proofErr w:type="spellStart"/>
      <w:r w:rsidRPr="009D3B46">
        <w:rPr>
          <w:i/>
          <w:iCs/>
          <w:sz w:val="24"/>
          <w:szCs w:val="24"/>
          <w:highlight w:val="white"/>
          <w:lang w:val="es-CL"/>
        </w:rPr>
        <w:t>Urol</w:t>
      </w:r>
      <w:proofErr w:type="spellEnd"/>
      <w:r w:rsidRPr="009D3B46">
        <w:rPr>
          <w:sz w:val="24"/>
          <w:szCs w:val="24"/>
          <w:highlight w:val="white"/>
          <w:lang w:val="es-CL"/>
        </w:rPr>
        <w:t>. 2025;87(6):654-71. doi:10.1016/j.eururo.2025.03.003.</w:t>
      </w:r>
    </w:p>
    <w:p w14:paraId="518C434B" w14:textId="77777777" w:rsidR="009D3B46" w:rsidRPr="009D3B46" w:rsidRDefault="009D3B46" w:rsidP="009D3B46">
      <w:pPr>
        <w:spacing w:after="240" w:line="480" w:lineRule="auto"/>
        <w:ind w:left="384"/>
        <w:rPr>
          <w:sz w:val="24"/>
          <w:szCs w:val="24"/>
          <w:highlight w:val="white"/>
          <w:lang w:val="es-CL"/>
        </w:rPr>
      </w:pPr>
      <w:r w:rsidRPr="009D3B46">
        <w:rPr>
          <w:b/>
          <w:bCs/>
          <w:sz w:val="24"/>
          <w:szCs w:val="24"/>
          <w:highlight w:val="white"/>
          <w:lang w:val="es-CL"/>
        </w:rPr>
        <w:t>20.</w:t>
      </w:r>
      <w:r w:rsidRPr="009D3B46">
        <w:rPr>
          <w:sz w:val="24"/>
          <w:szCs w:val="24"/>
          <w:highlight w:val="white"/>
          <w:lang w:val="es-CL"/>
        </w:rPr>
        <w:t xml:space="preserve"> </w:t>
      </w:r>
      <w:proofErr w:type="spellStart"/>
      <w:r w:rsidRPr="009D3B46">
        <w:rPr>
          <w:sz w:val="24"/>
          <w:szCs w:val="24"/>
          <w:highlight w:val="white"/>
          <w:lang w:val="es-CL"/>
        </w:rPr>
        <w:t>Barletta</w:t>
      </w:r>
      <w:proofErr w:type="spellEnd"/>
      <w:r w:rsidRPr="009D3B46">
        <w:rPr>
          <w:sz w:val="24"/>
          <w:szCs w:val="24"/>
          <w:highlight w:val="white"/>
          <w:lang w:val="es-CL"/>
        </w:rPr>
        <w:t xml:space="preserve"> F, Moro FD, </w:t>
      </w:r>
      <w:proofErr w:type="spellStart"/>
      <w:r w:rsidRPr="009D3B46">
        <w:rPr>
          <w:sz w:val="24"/>
          <w:szCs w:val="24"/>
          <w:highlight w:val="white"/>
          <w:lang w:val="es-CL"/>
        </w:rPr>
        <w:t>Rajwa</w:t>
      </w:r>
      <w:proofErr w:type="spellEnd"/>
      <w:r w:rsidRPr="009D3B46">
        <w:rPr>
          <w:sz w:val="24"/>
          <w:szCs w:val="24"/>
          <w:highlight w:val="white"/>
          <w:lang w:val="es-CL"/>
        </w:rPr>
        <w:t xml:space="preserve"> P, Rivas JG, Bianchi L, </w:t>
      </w:r>
      <w:proofErr w:type="spellStart"/>
      <w:r w:rsidRPr="009D3B46">
        <w:rPr>
          <w:sz w:val="24"/>
          <w:szCs w:val="24"/>
          <w:highlight w:val="white"/>
          <w:lang w:val="es-CL"/>
        </w:rPr>
        <w:t>Darr</w:t>
      </w:r>
      <w:proofErr w:type="spellEnd"/>
      <w:r w:rsidRPr="009D3B46">
        <w:rPr>
          <w:sz w:val="24"/>
          <w:szCs w:val="24"/>
          <w:highlight w:val="white"/>
          <w:lang w:val="es-CL"/>
        </w:rPr>
        <w:t xml:space="preserve"> C, et al. Rates and </w:t>
      </w:r>
      <w:proofErr w:type="spellStart"/>
      <w:r w:rsidRPr="009D3B46">
        <w:rPr>
          <w:sz w:val="24"/>
          <w:szCs w:val="24"/>
          <w:highlight w:val="white"/>
          <w:lang w:val="es-CL"/>
        </w:rPr>
        <w:t>predictors</w:t>
      </w:r>
      <w:proofErr w:type="spellEnd"/>
      <w:r w:rsidRPr="009D3B46">
        <w:rPr>
          <w:sz w:val="24"/>
          <w:szCs w:val="24"/>
          <w:highlight w:val="white"/>
          <w:lang w:val="es-CL"/>
        </w:rPr>
        <w:t xml:space="preserve"> </w:t>
      </w:r>
      <w:proofErr w:type="spellStart"/>
      <w:r w:rsidRPr="009D3B46">
        <w:rPr>
          <w:sz w:val="24"/>
          <w:szCs w:val="24"/>
          <w:highlight w:val="white"/>
          <w:lang w:val="es-CL"/>
        </w:rPr>
        <w:t>of</w:t>
      </w:r>
      <w:proofErr w:type="spellEnd"/>
      <w:r w:rsidRPr="009D3B46">
        <w:rPr>
          <w:sz w:val="24"/>
          <w:szCs w:val="24"/>
          <w:highlight w:val="white"/>
          <w:lang w:val="es-CL"/>
        </w:rPr>
        <w:t xml:space="preserve"> false </w:t>
      </w:r>
      <w:proofErr w:type="spellStart"/>
      <w:r w:rsidRPr="009D3B46">
        <w:rPr>
          <w:sz w:val="24"/>
          <w:szCs w:val="24"/>
          <w:highlight w:val="white"/>
          <w:lang w:val="es-CL"/>
        </w:rPr>
        <w:t>node</w:t>
      </w:r>
      <w:proofErr w:type="spellEnd"/>
      <w:r w:rsidRPr="009D3B46">
        <w:rPr>
          <w:sz w:val="24"/>
          <w:szCs w:val="24"/>
          <w:highlight w:val="white"/>
          <w:lang w:val="es-CL"/>
        </w:rPr>
        <w:t xml:space="preserve">-positive PSMA-PET in </w:t>
      </w:r>
      <w:proofErr w:type="spellStart"/>
      <w:r w:rsidRPr="009D3B46">
        <w:rPr>
          <w:sz w:val="24"/>
          <w:szCs w:val="24"/>
          <w:highlight w:val="white"/>
          <w:lang w:val="es-CL"/>
        </w:rPr>
        <w:t>patients</w:t>
      </w:r>
      <w:proofErr w:type="spellEnd"/>
      <w:r w:rsidRPr="009D3B46">
        <w:rPr>
          <w:sz w:val="24"/>
          <w:szCs w:val="24"/>
          <w:highlight w:val="white"/>
          <w:lang w:val="es-CL"/>
        </w:rPr>
        <w:t xml:space="preserve"> </w:t>
      </w:r>
      <w:proofErr w:type="spellStart"/>
      <w:r w:rsidRPr="009D3B46">
        <w:rPr>
          <w:sz w:val="24"/>
          <w:szCs w:val="24"/>
          <w:highlight w:val="white"/>
          <w:lang w:val="es-CL"/>
        </w:rPr>
        <w:t>treated</w:t>
      </w:r>
      <w:proofErr w:type="spellEnd"/>
      <w:r w:rsidRPr="009D3B46">
        <w:rPr>
          <w:sz w:val="24"/>
          <w:szCs w:val="24"/>
          <w:highlight w:val="white"/>
          <w:lang w:val="es-CL"/>
        </w:rPr>
        <w:t xml:space="preserve"> </w:t>
      </w:r>
      <w:proofErr w:type="spellStart"/>
      <w:r w:rsidRPr="009D3B46">
        <w:rPr>
          <w:sz w:val="24"/>
          <w:szCs w:val="24"/>
          <w:highlight w:val="white"/>
          <w:lang w:val="es-CL"/>
        </w:rPr>
        <w:t>with</w:t>
      </w:r>
      <w:proofErr w:type="spellEnd"/>
      <w:r w:rsidRPr="009D3B46">
        <w:rPr>
          <w:sz w:val="24"/>
          <w:szCs w:val="24"/>
          <w:highlight w:val="white"/>
          <w:lang w:val="es-CL"/>
        </w:rPr>
        <w:t xml:space="preserve"> radical </w:t>
      </w:r>
      <w:proofErr w:type="spellStart"/>
      <w:r w:rsidRPr="009D3B46">
        <w:rPr>
          <w:sz w:val="24"/>
          <w:szCs w:val="24"/>
          <w:highlight w:val="white"/>
          <w:lang w:val="es-CL"/>
        </w:rPr>
        <w:t>prostatectomy</w:t>
      </w:r>
      <w:proofErr w:type="spellEnd"/>
      <w:r w:rsidRPr="009D3B46">
        <w:rPr>
          <w:sz w:val="24"/>
          <w:szCs w:val="24"/>
          <w:highlight w:val="white"/>
          <w:lang w:val="es-CL"/>
        </w:rPr>
        <w:t xml:space="preserve"> and extended </w:t>
      </w:r>
      <w:proofErr w:type="spellStart"/>
      <w:r w:rsidRPr="009D3B46">
        <w:rPr>
          <w:sz w:val="24"/>
          <w:szCs w:val="24"/>
          <w:highlight w:val="white"/>
          <w:lang w:val="es-CL"/>
        </w:rPr>
        <w:t>pelvic</w:t>
      </w:r>
      <w:proofErr w:type="spellEnd"/>
      <w:r w:rsidRPr="009D3B46">
        <w:rPr>
          <w:sz w:val="24"/>
          <w:szCs w:val="24"/>
          <w:highlight w:val="white"/>
          <w:lang w:val="es-CL"/>
        </w:rPr>
        <w:t xml:space="preserve"> </w:t>
      </w:r>
      <w:proofErr w:type="spellStart"/>
      <w:r w:rsidRPr="009D3B46">
        <w:rPr>
          <w:sz w:val="24"/>
          <w:szCs w:val="24"/>
          <w:highlight w:val="white"/>
          <w:lang w:val="es-CL"/>
        </w:rPr>
        <w:t>lymph-node</w:t>
      </w:r>
      <w:proofErr w:type="spellEnd"/>
      <w:r w:rsidRPr="009D3B46">
        <w:rPr>
          <w:sz w:val="24"/>
          <w:szCs w:val="24"/>
          <w:highlight w:val="white"/>
          <w:lang w:val="es-CL"/>
        </w:rPr>
        <w:t xml:space="preserve"> </w:t>
      </w:r>
      <w:proofErr w:type="spellStart"/>
      <w:r w:rsidRPr="009D3B46">
        <w:rPr>
          <w:sz w:val="24"/>
          <w:szCs w:val="24"/>
          <w:highlight w:val="white"/>
          <w:lang w:val="es-CL"/>
        </w:rPr>
        <w:t>dissection</w:t>
      </w:r>
      <w:proofErr w:type="spellEnd"/>
      <w:r w:rsidRPr="009D3B46">
        <w:rPr>
          <w:sz w:val="24"/>
          <w:szCs w:val="24"/>
          <w:highlight w:val="white"/>
          <w:lang w:val="es-CL"/>
        </w:rPr>
        <w:t xml:space="preserve">: </w:t>
      </w:r>
      <w:proofErr w:type="spellStart"/>
      <w:r w:rsidRPr="009D3B46">
        <w:rPr>
          <w:sz w:val="24"/>
          <w:szCs w:val="24"/>
          <w:highlight w:val="white"/>
          <w:lang w:val="es-CL"/>
        </w:rPr>
        <w:t>results</w:t>
      </w:r>
      <w:proofErr w:type="spellEnd"/>
      <w:r w:rsidRPr="009D3B46">
        <w:rPr>
          <w:sz w:val="24"/>
          <w:szCs w:val="24"/>
          <w:highlight w:val="white"/>
          <w:lang w:val="es-CL"/>
        </w:rPr>
        <w:t xml:space="preserve"> </w:t>
      </w:r>
      <w:proofErr w:type="spellStart"/>
      <w:r w:rsidRPr="009D3B46">
        <w:rPr>
          <w:sz w:val="24"/>
          <w:szCs w:val="24"/>
          <w:highlight w:val="white"/>
          <w:lang w:val="es-CL"/>
        </w:rPr>
        <w:t>from</w:t>
      </w:r>
      <w:proofErr w:type="spellEnd"/>
      <w:r w:rsidRPr="009D3B46">
        <w:rPr>
          <w:sz w:val="24"/>
          <w:szCs w:val="24"/>
          <w:highlight w:val="white"/>
          <w:lang w:val="es-CL"/>
        </w:rPr>
        <w:t xml:space="preserve"> a multi-</w:t>
      </w:r>
      <w:proofErr w:type="spellStart"/>
      <w:r w:rsidRPr="009D3B46">
        <w:rPr>
          <w:sz w:val="24"/>
          <w:szCs w:val="24"/>
          <w:highlight w:val="white"/>
          <w:lang w:val="es-CL"/>
        </w:rPr>
        <w:lastRenderedPageBreak/>
        <w:t>institutional</w:t>
      </w:r>
      <w:proofErr w:type="spellEnd"/>
      <w:r w:rsidRPr="009D3B46">
        <w:rPr>
          <w:sz w:val="24"/>
          <w:szCs w:val="24"/>
          <w:highlight w:val="white"/>
          <w:lang w:val="es-CL"/>
        </w:rPr>
        <w:t xml:space="preserve"> </w:t>
      </w:r>
      <w:proofErr w:type="spellStart"/>
      <w:r w:rsidRPr="009D3B46">
        <w:rPr>
          <w:sz w:val="24"/>
          <w:szCs w:val="24"/>
          <w:highlight w:val="white"/>
          <w:lang w:val="es-CL"/>
        </w:rPr>
        <w:t>database</w:t>
      </w:r>
      <w:proofErr w:type="spellEnd"/>
      <w:r w:rsidRPr="009D3B46">
        <w:rPr>
          <w:sz w:val="24"/>
          <w:szCs w:val="24"/>
          <w:highlight w:val="white"/>
          <w:lang w:val="es-CL"/>
        </w:rPr>
        <w:t xml:space="preserve">. </w:t>
      </w:r>
      <w:r w:rsidRPr="009D3B46">
        <w:rPr>
          <w:i/>
          <w:iCs/>
          <w:sz w:val="24"/>
          <w:szCs w:val="24"/>
          <w:highlight w:val="white"/>
          <w:lang w:val="es-CL"/>
        </w:rPr>
        <w:t xml:space="preserve">J </w:t>
      </w:r>
      <w:proofErr w:type="spellStart"/>
      <w:r w:rsidRPr="009D3B46">
        <w:rPr>
          <w:i/>
          <w:iCs/>
          <w:sz w:val="24"/>
          <w:szCs w:val="24"/>
          <w:highlight w:val="white"/>
          <w:lang w:val="es-CL"/>
        </w:rPr>
        <w:t>Urol</w:t>
      </w:r>
      <w:proofErr w:type="spellEnd"/>
      <w:r w:rsidRPr="009D3B46">
        <w:rPr>
          <w:sz w:val="24"/>
          <w:szCs w:val="24"/>
          <w:highlight w:val="white"/>
          <w:lang w:val="es-CL"/>
        </w:rPr>
        <w:t xml:space="preserve">. 2024;211(5S). Disponible en: </w:t>
      </w:r>
      <w:hyperlink r:id="rId32" w:tgtFrame="_new" w:history="1">
        <w:r w:rsidRPr="009D3B46">
          <w:rPr>
            <w:rStyle w:val="Hipervnculo"/>
            <w:sz w:val="24"/>
            <w:szCs w:val="24"/>
            <w:highlight w:val="white"/>
            <w:lang w:val="es-CL"/>
          </w:rPr>
          <w:t>http://www.auajournals.org/doi/10.1097/01.JU.0001009428.69695.82.01</w:t>
        </w:r>
      </w:hyperlink>
      <w:r w:rsidRPr="009D3B46">
        <w:rPr>
          <w:sz w:val="24"/>
          <w:szCs w:val="24"/>
          <w:highlight w:val="white"/>
          <w:lang w:val="es-CL"/>
        </w:rPr>
        <w:t>.</w:t>
      </w:r>
    </w:p>
    <w:p w14:paraId="0CFE7774" w14:textId="77777777" w:rsidR="009D3B46" w:rsidRPr="009D3B46" w:rsidRDefault="009D3B46" w:rsidP="009D3B46">
      <w:pPr>
        <w:spacing w:after="240" w:line="480" w:lineRule="auto"/>
        <w:ind w:left="384"/>
        <w:rPr>
          <w:sz w:val="24"/>
          <w:szCs w:val="24"/>
          <w:highlight w:val="white"/>
          <w:lang w:val="es-CL"/>
        </w:rPr>
      </w:pPr>
      <w:r w:rsidRPr="009D3B46">
        <w:rPr>
          <w:b/>
          <w:bCs/>
          <w:sz w:val="24"/>
          <w:szCs w:val="24"/>
          <w:highlight w:val="white"/>
          <w:lang w:val="es-CL"/>
        </w:rPr>
        <w:t>21.</w:t>
      </w:r>
      <w:r w:rsidRPr="009D3B46">
        <w:rPr>
          <w:sz w:val="24"/>
          <w:szCs w:val="24"/>
          <w:highlight w:val="white"/>
          <w:lang w:val="es-CL"/>
        </w:rPr>
        <w:t xml:space="preserve"> </w:t>
      </w:r>
      <w:proofErr w:type="spellStart"/>
      <w:r w:rsidRPr="009D3B46">
        <w:rPr>
          <w:sz w:val="24"/>
          <w:szCs w:val="24"/>
          <w:highlight w:val="white"/>
          <w:lang w:val="es-CL"/>
        </w:rPr>
        <w:t>Ptasznik</w:t>
      </w:r>
      <w:proofErr w:type="spellEnd"/>
      <w:r w:rsidRPr="009D3B46">
        <w:rPr>
          <w:sz w:val="24"/>
          <w:szCs w:val="24"/>
          <w:highlight w:val="white"/>
          <w:lang w:val="es-CL"/>
        </w:rPr>
        <w:t xml:space="preserve"> G, Moon D, </w:t>
      </w:r>
      <w:proofErr w:type="spellStart"/>
      <w:r w:rsidRPr="009D3B46">
        <w:rPr>
          <w:sz w:val="24"/>
          <w:szCs w:val="24"/>
          <w:highlight w:val="white"/>
          <w:lang w:val="es-CL"/>
        </w:rPr>
        <w:t>Buteau</w:t>
      </w:r>
      <w:proofErr w:type="spellEnd"/>
      <w:r w:rsidRPr="009D3B46">
        <w:rPr>
          <w:sz w:val="24"/>
          <w:szCs w:val="24"/>
          <w:highlight w:val="white"/>
          <w:lang w:val="es-CL"/>
        </w:rPr>
        <w:t xml:space="preserve"> J, Kelly BD, </w:t>
      </w:r>
      <w:proofErr w:type="spellStart"/>
      <w:r w:rsidRPr="009D3B46">
        <w:rPr>
          <w:sz w:val="24"/>
          <w:szCs w:val="24"/>
          <w:highlight w:val="white"/>
          <w:lang w:val="es-CL"/>
        </w:rPr>
        <w:t>Ong</w:t>
      </w:r>
      <w:proofErr w:type="spellEnd"/>
      <w:r w:rsidRPr="009D3B46">
        <w:rPr>
          <w:sz w:val="24"/>
          <w:szCs w:val="24"/>
          <w:highlight w:val="white"/>
          <w:lang w:val="es-CL"/>
        </w:rPr>
        <w:t xml:space="preserve"> S, Murphy DG, et al. A </w:t>
      </w:r>
      <w:proofErr w:type="spellStart"/>
      <w:r w:rsidRPr="009D3B46">
        <w:rPr>
          <w:sz w:val="24"/>
          <w:szCs w:val="24"/>
          <w:highlight w:val="white"/>
          <w:lang w:val="es-CL"/>
        </w:rPr>
        <w:t>systematic</w:t>
      </w:r>
      <w:proofErr w:type="spellEnd"/>
      <w:r w:rsidRPr="009D3B46">
        <w:rPr>
          <w:sz w:val="24"/>
          <w:szCs w:val="24"/>
          <w:highlight w:val="white"/>
          <w:lang w:val="es-CL"/>
        </w:rPr>
        <w:t xml:space="preserve"> </w:t>
      </w:r>
      <w:proofErr w:type="spellStart"/>
      <w:r w:rsidRPr="009D3B46">
        <w:rPr>
          <w:sz w:val="24"/>
          <w:szCs w:val="24"/>
          <w:highlight w:val="white"/>
          <w:lang w:val="es-CL"/>
        </w:rPr>
        <w:t>review</w:t>
      </w:r>
      <w:proofErr w:type="spellEnd"/>
      <w:r w:rsidRPr="009D3B46">
        <w:rPr>
          <w:sz w:val="24"/>
          <w:szCs w:val="24"/>
          <w:highlight w:val="white"/>
          <w:lang w:val="es-CL"/>
        </w:rPr>
        <w:t xml:space="preserve"> </w:t>
      </w:r>
      <w:proofErr w:type="spellStart"/>
      <w:r w:rsidRPr="009D3B46">
        <w:rPr>
          <w:sz w:val="24"/>
          <w:szCs w:val="24"/>
          <w:highlight w:val="white"/>
          <w:lang w:val="es-CL"/>
        </w:rPr>
        <w:t>of</w:t>
      </w:r>
      <w:proofErr w:type="spellEnd"/>
      <w:r w:rsidRPr="009D3B46">
        <w:rPr>
          <w:sz w:val="24"/>
          <w:szCs w:val="24"/>
          <w:highlight w:val="white"/>
          <w:lang w:val="es-CL"/>
        </w:rPr>
        <w:t xml:space="preserve"> </w:t>
      </w:r>
      <w:proofErr w:type="spellStart"/>
      <w:r w:rsidRPr="009D3B46">
        <w:rPr>
          <w:sz w:val="24"/>
          <w:szCs w:val="24"/>
          <w:highlight w:val="white"/>
          <w:lang w:val="es-CL"/>
        </w:rPr>
        <w:t>the</w:t>
      </w:r>
      <w:proofErr w:type="spellEnd"/>
      <w:r w:rsidRPr="009D3B46">
        <w:rPr>
          <w:sz w:val="24"/>
          <w:szCs w:val="24"/>
          <w:highlight w:val="white"/>
          <w:lang w:val="es-CL"/>
        </w:rPr>
        <w:t xml:space="preserve"> </w:t>
      </w:r>
      <w:proofErr w:type="spellStart"/>
      <w:r w:rsidRPr="009D3B46">
        <w:rPr>
          <w:sz w:val="24"/>
          <w:szCs w:val="24"/>
          <w:highlight w:val="white"/>
          <w:lang w:val="es-CL"/>
        </w:rPr>
        <w:t>variability</w:t>
      </w:r>
      <w:proofErr w:type="spellEnd"/>
      <w:r w:rsidRPr="009D3B46">
        <w:rPr>
          <w:sz w:val="24"/>
          <w:szCs w:val="24"/>
          <w:highlight w:val="white"/>
          <w:lang w:val="es-CL"/>
        </w:rPr>
        <w:t xml:space="preserve"> in </w:t>
      </w:r>
      <w:proofErr w:type="spellStart"/>
      <w:r w:rsidRPr="009D3B46">
        <w:rPr>
          <w:sz w:val="24"/>
          <w:szCs w:val="24"/>
          <w:highlight w:val="white"/>
          <w:lang w:val="es-CL"/>
        </w:rPr>
        <w:t>performing</w:t>
      </w:r>
      <w:proofErr w:type="spellEnd"/>
      <w:r w:rsidRPr="009D3B46">
        <w:rPr>
          <w:sz w:val="24"/>
          <w:szCs w:val="24"/>
          <w:highlight w:val="white"/>
          <w:lang w:val="es-CL"/>
        </w:rPr>
        <w:t xml:space="preserve"> and </w:t>
      </w:r>
      <w:proofErr w:type="spellStart"/>
      <w:r w:rsidRPr="009D3B46">
        <w:rPr>
          <w:sz w:val="24"/>
          <w:szCs w:val="24"/>
          <w:highlight w:val="white"/>
          <w:lang w:val="es-CL"/>
        </w:rPr>
        <w:t>reporting</w:t>
      </w:r>
      <w:proofErr w:type="spellEnd"/>
      <w:r w:rsidRPr="009D3B46">
        <w:rPr>
          <w:sz w:val="24"/>
          <w:szCs w:val="24"/>
          <w:highlight w:val="white"/>
          <w:lang w:val="es-CL"/>
        </w:rPr>
        <w:t xml:space="preserve"> </w:t>
      </w:r>
      <w:proofErr w:type="spellStart"/>
      <w:r w:rsidRPr="009D3B46">
        <w:rPr>
          <w:sz w:val="24"/>
          <w:szCs w:val="24"/>
          <w:highlight w:val="white"/>
          <w:lang w:val="es-CL"/>
        </w:rPr>
        <w:t>intraprostatic</w:t>
      </w:r>
      <w:proofErr w:type="spellEnd"/>
      <w:r w:rsidRPr="009D3B46">
        <w:rPr>
          <w:sz w:val="24"/>
          <w:szCs w:val="24"/>
          <w:highlight w:val="white"/>
          <w:lang w:val="es-CL"/>
        </w:rPr>
        <w:t xml:space="preserve"> PSMA PET in </w:t>
      </w:r>
      <w:proofErr w:type="spellStart"/>
      <w:r w:rsidRPr="009D3B46">
        <w:rPr>
          <w:sz w:val="24"/>
          <w:szCs w:val="24"/>
          <w:highlight w:val="white"/>
          <w:lang w:val="es-CL"/>
        </w:rPr>
        <w:t>primary</w:t>
      </w:r>
      <w:proofErr w:type="spellEnd"/>
      <w:r w:rsidRPr="009D3B46">
        <w:rPr>
          <w:sz w:val="24"/>
          <w:szCs w:val="24"/>
          <w:highlight w:val="white"/>
          <w:lang w:val="es-CL"/>
        </w:rPr>
        <w:t xml:space="preserve"> </w:t>
      </w:r>
      <w:proofErr w:type="spellStart"/>
      <w:r w:rsidRPr="009D3B46">
        <w:rPr>
          <w:sz w:val="24"/>
          <w:szCs w:val="24"/>
          <w:highlight w:val="white"/>
          <w:lang w:val="es-CL"/>
        </w:rPr>
        <w:t>staging</w:t>
      </w:r>
      <w:proofErr w:type="spellEnd"/>
      <w:r w:rsidRPr="009D3B46">
        <w:rPr>
          <w:sz w:val="24"/>
          <w:szCs w:val="24"/>
          <w:highlight w:val="white"/>
          <w:lang w:val="es-CL"/>
        </w:rPr>
        <w:t xml:space="preserve"> </w:t>
      </w:r>
      <w:proofErr w:type="spellStart"/>
      <w:r w:rsidRPr="009D3B46">
        <w:rPr>
          <w:sz w:val="24"/>
          <w:szCs w:val="24"/>
          <w:highlight w:val="white"/>
          <w:lang w:val="es-CL"/>
        </w:rPr>
        <w:t>studies</w:t>
      </w:r>
      <w:proofErr w:type="spellEnd"/>
      <w:r w:rsidRPr="009D3B46">
        <w:rPr>
          <w:sz w:val="24"/>
          <w:szCs w:val="24"/>
          <w:highlight w:val="white"/>
          <w:lang w:val="es-CL"/>
        </w:rPr>
        <w:t xml:space="preserve">. </w:t>
      </w:r>
      <w:proofErr w:type="spellStart"/>
      <w:r w:rsidRPr="009D3B46">
        <w:rPr>
          <w:i/>
          <w:iCs/>
          <w:sz w:val="24"/>
          <w:szCs w:val="24"/>
          <w:highlight w:val="white"/>
          <w:lang w:val="es-CL"/>
        </w:rPr>
        <w:t>Eur</w:t>
      </w:r>
      <w:proofErr w:type="spellEnd"/>
      <w:r w:rsidRPr="009D3B46">
        <w:rPr>
          <w:i/>
          <w:iCs/>
          <w:sz w:val="24"/>
          <w:szCs w:val="24"/>
          <w:highlight w:val="white"/>
          <w:lang w:val="es-CL"/>
        </w:rPr>
        <w:t xml:space="preserve"> </w:t>
      </w:r>
      <w:proofErr w:type="spellStart"/>
      <w:r w:rsidRPr="009D3B46">
        <w:rPr>
          <w:i/>
          <w:iCs/>
          <w:sz w:val="24"/>
          <w:szCs w:val="24"/>
          <w:highlight w:val="white"/>
          <w:lang w:val="es-CL"/>
        </w:rPr>
        <w:t>Urol</w:t>
      </w:r>
      <w:proofErr w:type="spellEnd"/>
      <w:r w:rsidRPr="009D3B46">
        <w:rPr>
          <w:i/>
          <w:iCs/>
          <w:sz w:val="24"/>
          <w:szCs w:val="24"/>
          <w:highlight w:val="white"/>
          <w:lang w:val="es-CL"/>
        </w:rPr>
        <w:t xml:space="preserve"> Open </w:t>
      </w:r>
      <w:proofErr w:type="spellStart"/>
      <w:r w:rsidRPr="009D3B46">
        <w:rPr>
          <w:i/>
          <w:iCs/>
          <w:sz w:val="24"/>
          <w:szCs w:val="24"/>
          <w:highlight w:val="white"/>
          <w:lang w:val="es-CL"/>
        </w:rPr>
        <w:t>Sci</w:t>
      </w:r>
      <w:proofErr w:type="spellEnd"/>
      <w:r w:rsidRPr="009D3B46">
        <w:rPr>
          <w:sz w:val="24"/>
          <w:szCs w:val="24"/>
          <w:highlight w:val="white"/>
          <w:lang w:val="es-CL"/>
        </w:rPr>
        <w:t>. 2023;50:91-105. doi:10.1016/j.euros.2023.03.014.</w:t>
      </w:r>
    </w:p>
    <w:p w14:paraId="1481051A" w14:textId="2C1BD2D3" w:rsidR="00F26601" w:rsidRPr="00161F12" w:rsidRDefault="00F26601" w:rsidP="00161F12">
      <w:pPr>
        <w:spacing w:after="240" w:line="480" w:lineRule="auto"/>
        <w:ind w:left="384"/>
        <w:rPr>
          <w:sz w:val="24"/>
          <w:szCs w:val="24"/>
        </w:rPr>
      </w:pPr>
    </w:p>
    <w:p w14:paraId="34AD6FEB" w14:textId="77777777" w:rsidR="00F26601" w:rsidRPr="00161F12" w:rsidRDefault="00F26601" w:rsidP="00161F12">
      <w:pPr>
        <w:spacing w:after="240" w:line="480" w:lineRule="auto"/>
        <w:ind w:left="384"/>
        <w:rPr>
          <w:sz w:val="24"/>
          <w:szCs w:val="24"/>
        </w:rPr>
      </w:pPr>
    </w:p>
    <w:p w14:paraId="7CAB4A0F" w14:textId="082CEDCF" w:rsidR="00F26601" w:rsidRPr="00161F12" w:rsidRDefault="00000000" w:rsidP="00161F12">
      <w:pPr>
        <w:spacing w:after="240" w:line="480" w:lineRule="auto"/>
        <w:ind w:left="384"/>
        <w:rPr>
          <w:b/>
          <w:bCs/>
          <w:sz w:val="24"/>
          <w:szCs w:val="24"/>
        </w:rPr>
      </w:pPr>
      <w:r w:rsidRPr="00161F12">
        <w:rPr>
          <w:b/>
          <w:bCs/>
          <w:sz w:val="24"/>
          <w:szCs w:val="24"/>
        </w:rPr>
        <w:t>Tablas y Figuras</w:t>
      </w:r>
    </w:p>
    <w:p w14:paraId="1055B29C" w14:textId="77777777" w:rsidR="00161F12" w:rsidRPr="00161F12" w:rsidRDefault="00161F12" w:rsidP="00161F12">
      <w:pPr>
        <w:autoSpaceDE w:val="0"/>
        <w:autoSpaceDN w:val="0"/>
        <w:adjustRightInd w:val="0"/>
        <w:spacing w:line="480" w:lineRule="auto"/>
        <w:rPr>
          <w:sz w:val="24"/>
          <w:szCs w:val="24"/>
          <w:lang w:val="es-MX"/>
        </w:rPr>
      </w:pPr>
    </w:p>
    <w:tbl>
      <w:tblPr>
        <w:tblW w:w="9602" w:type="dxa"/>
        <w:tblInd w:w="-20" w:type="dxa"/>
        <w:tblLayout w:type="fixed"/>
        <w:tblCellMar>
          <w:left w:w="0" w:type="dxa"/>
          <w:right w:w="0" w:type="dxa"/>
        </w:tblCellMar>
        <w:tblLook w:val="0000" w:firstRow="0" w:lastRow="0" w:firstColumn="0" w:lastColumn="0" w:noHBand="0" w:noVBand="0"/>
      </w:tblPr>
      <w:tblGrid>
        <w:gridCol w:w="2029"/>
        <w:gridCol w:w="2204"/>
        <w:gridCol w:w="913"/>
        <w:gridCol w:w="1114"/>
        <w:gridCol w:w="1114"/>
        <w:gridCol w:w="913"/>
        <w:gridCol w:w="1315"/>
      </w:tblGrid>
      <w:tr w:rsidR="00161F12" w:rsidRPr="00161F12" w14:paraId="038AC6FD" w14:textId="77777777" w:rsidTr="00161F12">
        <w:trPr>
          <w:cantSplit/>
          <w:trHeight w:val="619"/>
        </w:trPr>
        <w:tc>
          <w:tcPr>
            <w:tcW w:w="4233" w:type="dxa"/>
            <w:gridSpan w:val="2"/>
            <w:tcBorders>
              <w:top w:val="single" w:sz="16" w:space="0" w:color="000000"/>
              <w:left w:val="single" w:sz="16" w:space="0" w:color="000000"/>
              <w:bottom w:val="single" w:sz="16" w:space="0" w:color="000000"/>
              <w:right w:val="nil"/>
            </w:tcBorders>
            <w:shd w:val="clear" w:color="auto" w:fill="FFFFFF"/>
            <w:vAlign w:val="bottom"/>
          </w:tcPr>
          <w:p w14:paraId="42B1B502" w14:textId="77777777" w:rsidR="00161F12" w:rsidRPr="00161F12" w:rsidRDefault="00161F12" w:rsidP="00161F12">
            <w:pPr>
              <w:autoSpaceDE w:val="0"/>
              <w:autoSpaceDN w:val="0"/>
              <w:adjustRightInd w:val="0"/>
              <w:spacing w:line="480" w:lineRule="auto"/>
              <w:rPr>
                <w:sz w:val="24"/>
                <w:szCs w:val="24"/>
                <w:lang w:val="es-MX"/>
              </w:rPr>
            </w:pPr>
          </w:p>
        </w:tc>
        <w:tc>
          <w:tcPr>
            <w:tcW w:w="913" w:type="dxa"/>
            <w:tcBorders>
              <w:top w:val="single" w:sz="16" w:space="0" w:color="000000"/>
              <w:left w:val="single" w:sz="16" w:space="0" w:color="000000"/>
              <w:bottom w:val="single" w:sz="16" w:space="0" w:color="000000"/>
              <w:right w:val="single" w:sz="8" w:space="0" w:color="000000"/>
            </w:tcBorders>
            <w:shd w:val="clear" w:color="auto" w:fill="FFFFFF"/>
            <w:vAlign w:val="bottom"/>
          </w:tcPr>
          <w:p w14:paraId="3679D941" w14:textId="77777777" w:rsidR="00161F12" w:rsidRPr="00161F12" w:rsidRDefault="00161F12" w:rsidP="00161F12">
            <w:pPr>
              <w:autoSpaceDE w:val="0"/>
              <w:autoSpaceDN w:val="0"/>
              <w:adjustRightInd w:val="0"/>
              <w:spacing w:line="480" w:lineRule="auto"/>
              <w:ind w:left="60" w:right="60"/>
              <w:jc w:val="center"/>
              <w:rPr>
                <w:color w:val="000000"/>
                <w:sz w:val="24"/>
                <w:szCs w:val="24"/>
                <w:lang w:val="es-MX"/>
              </w:rPr>
            </w:pPr>
            <w:r w:rsidRPr="00161F12">
              <w:rPr>
                <w:color w:val="000000"/>
                <w:sz w:val="24"/>
                <w:szCs w:val="24"/>
                <w:lang w:val="es-MX"/>
              </w:rPr>
              <w:t>Mediana</w:t>
            </w:r>
          </w:p>
        </w:tc>
        <w:tc>
          <w:tcPr>
            <w:tcW w:w="1114"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7B90700C" w14:textId="77777777" w:rsidR="00161F12" w:rsidRPr="00161F12" w:rsidRDefault="00161F12" w:rsidP="00161F12">
            <w:pPr>
              <w:autoSpaceDE w:val="0"/>
              <w:autoSpaceDN w:val="0"/>
              <w:adjustRightInd w:val="0"/>
              <w:spacing w:line="480" w:lineRule="auto"/>
              <w:ind w:left="60" w:right="60"/>
              <w:jc w:val="center"/>
              <w:rPr>
                <w:color w:val="000000"/>
                <w:sz w:val="24"/>
                <w:szCs w:val="24"/>
                <w:lang w:val="es-MX"/>
              </w:rPr>
            </w:pPr>
            <w:r w:rsidRPr="00161F12">
              <w:rPr>
                <w:color w:val="000000"/>
                <w:sz w:val="24"/>
                <w:szCs w:val="24"/>
                <w:lang w:val="es-MX"/>
              </w:rPr>
              <w:t>Percentil 25</w:t>
            </w:r>
          </w:p>
        </w:tc>
        <w:tc>
          <w:tcPr>
            <w:tcW w:w="1114"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6F27699A" w14:textId="77777777" w:rsidR="00161F12" w:rsidRPr="00161F12" w:rsidRDefault="00161F12" w:rsidP="00161F12">
            <w:pPr>
              <w:autoSpaceDE w:val="0"/>
              <w:autoSpaceDN w:val="0"/>
              <w:adjustRightInd w:val="0"/>
              <w:spacing w:line="480" w:lineRule="auto"/>
              <w:ind w:left="60" w:right="60"/>
              <w:jc w:val="center"/>
              <w:rPr>
                <w:color w:val="000000"/>
                <w:sz w:val="24"/>
                <w:szCs w:val="24"/>
                <w:lang w:val="es-MX"/>
              </w:rPr>
            </w:pPr>
            <w:r w:rsidRPr="00161F12">
              <w:rPr>
                <w:color w:val="000000"/>
                <w:sz w:val="24"/>
                <w:szCs w:val="24"/>
                <w:lang w:val="es-MX"/>
              </w:rPr>
              <w:t>Percentil 75</w:t>
            </w:r>
          </w:p>
        </w:tc>
        <w:tc>
          <w:tcPr>
            <w:tcW w:w="913"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560B32B4" w14:textId="77777777" w:rsidR="00161F12" w:rsidRPr="00161F12" w:rsidRDefault="00161F12" w:rsidP="00161F12">
            <w:pPr>
              <w:autoSpaceDE w:val="0"/>
              <w:autoSpaceDN w:val="0"/>
              <w:adjustRightInd w:val="0"/>
              <w:spacing w:line="480" w:lineRule="auto"/>
              <w:ind w:left="60" w:right="60"/>
              <w:jc w:val="center"/>
              <w:rPr>
                <w:color w:val="000000"/>
                <w:sz w:val="24"/>
                <w:szCs w:val="24"/>
                <w:lang w:val="es-MX"/>
              </w:rPr>
            </w:pPr>
            <w:r w:rsidRPr="00161F12">
              <w:rPr>
                <w:color w:val="000000"/>
                <w:sz w:val="24"/>
                <w:szCs w:val="24"/>
                <w:lang w:val="es-MX"/>
              </w:rPr>
              <w:t>Recuento</w:t>
            </w:r>
          </w:p>
        </w:tc>
        <w:tc>
          <w:tcPr>
            <w:tcW w:w="1315" w:type="dxa"/>
            <w:tcBorders>
              <w:top w:val="single" w:sz="16" w:space="0" w:color="000000"/>
              <w:left w:val="single" w:sz="8" w:space="0" w:color="000000"/>
              <w:bottom w:val="single" w:sz="16" w:space="0" w:color="000000"/>
              <w:right w:val="single" w:sz="16" w:space="0" w:color="000000"/>
            </w:tcBorders>
            <w:shd w:val="clear" w:color="auto" w:fill="FFFFFF"/>
            <w:vAlign w:val="bottom"/>
          </w:tcPr>
          <w:p w14:paraId="06A503AD" w14:textId="77777777" w:rsidR="00161F12" w:rsidRPr="00161F12" w:rsidRDefault="00161F12" w:rsidP="00161F12">
            <w:pPr>
              <w:autoSpaceDE w:val="0"/>
              <w:autoSpaceDN w:val="0"/>
              <w:adjustRightInd w:val="0"/>
              <w:spacing w:line="480" w:lineRule="auto"/>
              <w:ind w:left="60" w:right="60"/>
              <w:jc w:val="center"/>
              <w:rPr>
                <w:color w:val="000000"/>
                <w:sz w:val="24"/>
                <w:szCs w:val="24"/>
                <w:lang w:val="es-MX"/>
              </w:rPr>
            </w:pPr>
            <w:r w:rsidRPr="00161F12">
              <w:rPr>
                <w:color w:val="000000"/>
                <w:sz w:val="24"/>
                <w:szCs w:val="24"/>
                <w:lang w:val="es-MX"/>
              </w:rPr>
              <w:t>% de N columnas</w:t>
            </w:r>
          </w:p>
        </w:tc>
      </w:tr>
      <w:tr w:rsidR="00161F12" w:rsidRPr="00161F12" w14:paraId="20C2BB3D" w14:textId="77777777" w:rsidTr="00161F12">
        <w:trPr>
          <w:cantSplit/>
          <w:trHeight w:val="301"/>
        </w:trPr>
        <w:tc>
          <w:tcPr>
            <w:tcW w:w="4233" w:type="dxa"/>
            <w:gridSpan w:val="2"/>
            <w:tcBorders>
              <w:top w:val="single" w:sz="16" w:space="0" w:color="000000"/>
              <w:left w:val="single" w:sz="16" w:space="0" w:color="000000"/>
              <w:bottom w:val="single" w:sz="8" w:space="0" w:color="AEAEAE"/>
              <w:right w:val="nil"/>
            </w:tcBorders>
            <w:shd w:val="clear" w:color="auto" w:fill="FFFFFF"/>
          </w:tcPr>
          <w:p w14:paraId="7E0081CB" w14:textId="77777777" w:rsidR="00161F12" w:rsidRPr="00161F12" w:rsidRDefault="00161F12" w:rsidP="00161F12">
            <w:pPr>
              <w:autoSpaceDE w:val="0"/>
              <w:autoSpaceDN w:val="0"/>
              <w:adjustRightInd w:val="0"/>
              <w:spacing w:line="480" w:lineRule="auto"/>
              <w:ind w:left="60" w:right="60"/>
              <w:rPr>
                <w:color w:val="000000"/>
                <w:sz w:val="24"/>
                <w:szCs w:val="24"/>
                <w:lang w:val="es-MX"/>
              </w:rPr>
            </w:pPr>
            <w:r w:rsidRPr="00161F12">
              <w:rPr>
                <w:color w:val="000000"/>
                <w:sz w:val="24"/>
                <w:szCs w:val="24"/>
                <w:lang w:val="es-MX"/>
              </w:rPr>
              <w:t>PSA total (ng/ml)</w:t>
            </w:r>
          </w:p>
        </w:tc>
        <w:tc>
          <w:tcPr>
            <w:tcW w:w="913" w:type="dxa"/>
            <w:tcBorders>
              <w:top w:val="single" w:sz="16" w:space="0" w:color="000000"/>
              <w:left w:val="single" w:sz="16" w:space="0" w:color="000000"/>
              <w:bottom w:val="single" w:sz="8" w:space="0" w:color="AEAEAE"/>
              <w:right w:val="single" w:sz="8" w:space="0" w:color="000000"/>
            </w:tcBorders>
            <w:shd w:val="clear" w:color="auto" w:fill="FFFFFF"/>
          </w:tcPr>
          <w:p w14:paraId="74803730" w14:textId="77777777" w:rsidR="00161F12" w:rsidRPr="00161F12" w:rsidRDefault="00161F12" w:rsidP="00161F12">
            <w:pPr>
              <w:autoSpaceDE w:val="0"/>
              <w:autoSpaceDN w:val="0"/>
              <w:adjustRightInd w:val="0"/>
              <w:spacing w:line="480" w:lineRule="auto"/>
              <w:ind w:left="60" w:right="60"/>
              <w:jc w:val="right"/>
              <w:rPr>
                <w:color w:val="000000"/>
                <w:sz w:val="24"/>
                <w:szCs w:val="24"/>
                <w:lang w:val="es-MX"/>
              </w:rPr>
            </w:pPr>
            <w:r w:rsidRPr="00161F12">
              <w:rPr>
                <w:color w:val="000000"/>
                <w:sz w:val="24"/>
                <w:szCs w:val="24"/>
                <w:lang w:val="es-MX"/>
              </w:rPr>
              <w:t>6.49</w:t>
            </w:r>
          </w:p>
        </w:tc>
        <w:tc>
          <w:tcPr>
            <w:tcW w:w="1114" w:type="dxa"/>
            <w:tcBorders>
              <w:top w:val="single" w:sz="16" w:space="0" w:color="000000"/>
              <w:left w:val="single" w:sz="8" w:space="0" w:color="000000"/>
              <w:bottom w:val="single" w:sz="8" w:space="0" w:color="AEAEAE"/>
              <w:right w:val="single" w:sz="8" w:space="0" w:color="000000"/>
            </w:tcBorders>
            <w:shd w:val="clear" w:color="auto" w:fill="FFFFFF"/>
          </w:tcPr>
          <w:p w14:paraId="75D22299" w14:textId="77777777" w:rsidR="00161F12" w:rsidRPr="00161F12" w:rsidRDefault="00161F12" w:rsidP="00161F12">
            <w:pPr>
              <w:autoSpaceDE w:val="0"/>
              <w:autoSpaceDN w:val="0"/>
              <w:adjustRightInd w:val="0"/>
              <w:spacing w:line="480" w:lineRule="auto"/>
              <w:ind w:left="60" w:right="60"/>
              <w:jc w:val="right"/>
              <w:rPr>
                <w:color w:val="000000"/>
                <w:sz w:val="24"/>
                <w:szCs w:val="24"/>
                <w:lang w:val="es-MX"/>
              </w:rPr>
            </w:pPr>
            <w:r w:rsidRPr="00161F12">
              <w:rPr>
                <w:color w:val="000000"/>
                <w:sz w:val="24"/>
                <w:szCs w:val="24"/>
                <w:lang w:val="es-MX"/>
              </w:rPr>
              <w:t>4.38</w:t>
            </w:r>
          </w:p>
        </w:tc>
        <w:tc>
          <w:tcPr>
            <w:tcW w:w="1114" w:type="dxa"/>
            <w:tcBorders>
              <w:top w:val="single" w:sz="16" w:space="0" w:color="000000"/>
              <w:left w:val="single" w:sz="8" w:space="0" w:color="000000"/>
              <w:bottom w:val="single" w:sz="8" w:space="0" w:color="AEAEAE"/>
              <w:right w:val="single" w:sz="8" w:space="0" w:color="000000"/>
            </w:tcBorders>
            <w:shd w:val="clear" w:color="auto" w:fill="FFFFFF"/>
          </w:tcPr>
          <w:p w14:paraId="198632A8" w14:textId="77777777" w:rsidR="00161F12" w:rsidRPr="00161F12" w:rsidRDefault="00161F12" w:rsidP="00161F12">
            <w:pPr>
              <w:autoSpaceDE w:val="0"/>
              <w:autoSpaceDN w:val="0"/>
              <w:adjustRightInd w:val="0"/>
              <w:spacing w:line="480" w:lineRule="auto"/>
              <w:ind w:left="60" w:right="60"/>
              <w:jc w:val="right"/>
              <w:rPr>
                <w:color w:val="000000"/>
                <w:sz w:val="24"/>
                <w:szCs w:val="24"/>
                <w:lang w:val="es-MX"/>
              </w:rPr>
            </w:pPr>
            <w:r w:rsidRPr="00161F12">
              <w:rPr>
                <w:color w:val="000000"/>
                <w:sz w:val="24"/>
                <w:szCs w:val="24"/>
                <w:lang w:val="es-MX"/>
              </w:rPr>
              <w:t>11.00</w:t>
            </w:r>
          </w:p>
        </w:tc>
        <w:tc>
          <w:tcPr>
            <w:tcW w:w="913" w:type="dxa"/>
            <w:tcBorders>
              <w:top w:val="single" w:sz="16" w:space="0" w:color="000000"/>
              <w:left w:val="single" w:sz="8" w:space="0" w:color="000000"/>
              <w:bottom w:val="single" w:sz="8" w:space="0" w:color="AEAEAE"/>
              <w:right w:val="single" w:sz="8" w:space="0" w:color="000000"/>
            </w:tcBorders>
            <w:shd w:val="clear" w:color="auto" w:fill="FFFFFF"/>
            <w:vAlign w:val="center"/>
          </w:tcPr>
          <w:p w14:paraId="4C52203C" w14:textId="77777777" w:rsidR="00161F12" w:rsidRPr="00161F12" w:rsidRDefault="00161F12" w:rsidP="00161F12">
            <w:pPr>
              <w:autoSpaceDE w:val="0"/>
              <w:autoSpaceDN w:val="0"/>
              <w:adjustRightInd w:val="0"/>
              <w:spacing w:line="480" w:lineRule="auto"/>
              <w:rPr>
                <w:sz w:val="24"/>
                <w:szCs w:val="24"/>
                <w:lang w:val="es-MX"/>
              </w:rPr>
            </w:pPr>
          </w:p>
        </w:tc>
        <w:tc>
          <w:tcPr>
            <w:tcW w:w="1315" w:type="dxa"/>
            <w:tcBorders>
              <w:top w:val="single" w:sz="16" w:space="0" w:color="000000"/>
              <w:left w:val="single" w:sz="8" w:space="0" w:color="000000"/>
              <w:bottom w:val="single" w:sz="8" w:space="0" w:color="AEAEAE"/>
              <w:right w:val="single" w:sz="16" w:space="0" w:color="000000"/>
            </w:tcBorders>
            <w:shd w:val="clear" w:color="auto" w:fill="FFFFFF"/>
            <w:vAlign w:val="center"/>
          </w:tcPr>
          <w:p w14:paraId="05AB8966" w14:textId="77777777" w:rsidR="00161F12" w:rsidRPr="00161F12" w:rsidRDefault="00161F12" w:rsidP="00161F12">
            <w:pPr>
              <w:autoSpaceDE w:val="0"/>
              <w:autoSpaceDN w:val="0"/>
              <w:adjustRightInd w:val="0"/>
              <w:spacing w:line="480" w:lineRule="auto"/>
              <w:rPr>
                <w:sz w:val="24"/>
                <w:szCs w:val="24"/>
                <w:lang w:val="es-MX"/>
              </w:rPr>
            </w:pPr>
          </w:p>
        </w:tc>
      </w:tr>
      <w:tr w:rsidR="00161F12" w:rsidRPr="00161F12" w14:paraId="20EA2425" w14:textId="77777777" w:rsidTr="00161F12">
        <w:trPr>
          <w:cantSplit/>
          <w:trHeight w:val="301"/>
        </w:trPr>
        <w:tc>
          <w:tcPr>
            <w:tcW w:w="2029" w:type="dxa"/>
            <w:vMerge w:val="restart"/>
            <w:tcBorders>
              <w:top w:val="single" w:sz="8" w:space="0" w:color="AEAEAE"/>
              <w:left w:val="single" w:sz="16" w:space="0" w:color="000000"/>
              <w:bottom w:val="single" w:sz="8" w:space="0" w:color="AEAEAE"/>
              <w:right w:val="nil"/>
            </w:tcBorders>
            <w:shd w:val="clear" w:color="auto" w:fill="FFFFFF"/>
          </w:tcPr>
          <w:p w14:paraId="6995DAF0" w14:textId="77777777" w:rsidR="00161F12" w:rsidRPr="00161F12" w:rsidRDefault="00161F12" w:rsidP="00161F12">
            <w:pPr>
              <w:autoSpaceDE w:val="0"/>
              <w:autoSpaceDN w:val="0"/>
              <w:adjustRightInd w:val="0"/>
              <w:spacing w:line="480" w:lineRule="auto"/>
              <w:ind w:left="60" w:right="60"/>
              <w:rPr>
                <w:color w:val="000000"/>
                <w:sz w:val="24"/>
                <w:szCs w:val="24"/>
                <w:lang w:val="es-MX"/>
              </w:rPr>
            </w:pPr>
            <w:r w:rsidRPr="00161F12">
              <w:rPr>
                <w:color w:val="000000"/>
                <w:sz w:val="24"/>
                <w:szCs w:val="24"/>
                <w:lang w:val="es-MX"/>
              </w:rPr>
              <w:t>RM estadio T</w:t>
            </w:r>
          </w:p>
        </w:tc>
        <w:tc>
          <w:tcPr>
            <w:tcW w:w="2203" w:type="dxa"/>
            <w:tcBorders>
              <w:top w:val="single" w:sz="8" w:space="0" w:color="AEAEAE"/>
              <w:left w:val="nil"/>
              <w:bottom w:val="single" w:sz="8" w:space="0" w:color="AEAEAE"/>
              <w:right w:val="single" w:sz="16" w:space="0" w:color="000000"/>
            </w:tcBorders>
            <w:shd w:val="clear" w:color="auto" w:fill="FFFFFF"/>
          </w:tcPr>
          <w:p w14:paraId="34FD29D7" w14:textId="77777777" w:rsidR="00161F12" w:rsidRPr="00161F12" w:rsidRDefault="00161F12" w:rsidP="00161F12">
            <w:pPr>
              <w:autoSpaceDE w:val="0"/>
              <w:autoSpaceDN w:val="0"/>
              <w:adjustRightInd w:val="0"/>
              <w:spacing w:line="480" w:lineRule="auto"/>
              <w:ind w:left="60" w:right="60"/>
              <w:rPr>
                <w:color w:val="000000"/>
                <w:sz w:val="24"/>
                <w:szCs w:val="24"/>
                <w:lang w:val="es-MX"/>
              </w:rPr>
            </w:pPr>
            <w:r w:rsidRPr="00161F12">
              <w:rPr>
                <w:color w:val="000000"/>
                <w:sz w:val="24"/>
                <w:szCs w:val="24"/>
                <w:lang w:val="es-MX"/>
              </w:rPr>
              <w:t>cT2</w:t>
            </w:r>
          </w:p>
        </w:tc>
        <w:tc>
          <w:tcPr>
            <w:tcW w:w="913" w:type="dxa"/>
            <w:tcBorders>
              <w:top w:val="single" w:sz="8" w:space="0" w:color="AEAEAE"/>
              <w:left w:val="single" w:sz="16" w:space="0" w:color="000000"/>
              <w:bottom w:val="single" w:sz="8" w:space="0" w:color="AEAEAE"/>
              <w:right w:val="single" w:sz="8" w:space="0" w:color="000000"/>
            </w:tcBorders>
            <w:shd w:val="clear" w:color="auto" w:fill="FFFFFF"/>
            <w:vAlign w:val="center"/>
          </w:tcPr>
          <w:p w14:paraId="6F3AF239" w14:textId="77777777" w:rsidR="00161F12" w:rsidRPr="00161F12" w:rsidRDefault="00161F12" w:rsidP="00161F12">
            <w:pPr>
              <w:autoSpaceDE w:val="0"/>
              <w:autoSpaceDN w:val="0"/>
              <w:adjustRightInd w:val="0"/>
              <w:spacing w:line="480" w:lineRule="auto"/>
              <w:rPr>
                <w:sz w:val="24"/>
                <w:szCs w:val="24"/>
                <w:lang w:val="es-MX"/>
              </w:rPr>
            </w:pPr>
          </w:p>
        </w:tc>
        <w:tc>
          <w:tcPr>
            <w:tcW w:w="1114" w:type="dxa"/>
            <w:tcBorders>
              <w:top w:val="single" w:sz="8" w:space="0" w:color="AEAEAE"/>
              <w:left w:val="single" w:sz="8" w:space="0" w:color="000000"/>
              <w:bottom w:val="single" w:sz="8" w:space="0" w:color="AEAEAE"/>
              <w:right w:val="single" w:sz="8" w:space="0" w:color="000000"/>
            </w:tcBorders>
            <w:shd w:val="clear" w:color="auto" w:fill="FFFFFF"/>
            <w:vAlign w:val="center"/>
          </w:tcPr>
          <w:p w14:paraId="436B5BBC" w14:textId="77777777" w:rsidR="00161F12" w:rsidRPr="00161F12" w:rsidRDefault="00161F12" w:rsidP="00161F12">
            <w:pPr>
              <w:autoSpaceDE w:val="0"/>
              <w:autoSpaceDN w:val="0"/>
              <w:adjustRightInd w:val="0"/>
              <w:spacing w:line="480" w:lineRule="auto"/>
              <w:rPr>
                <w:sz w:val="24"/>
                <w:szCs w:val="24"/>
                <w:lang w:val="es-MX"/>
              </w:rPr>
            </w:pPr>
          </w:p>
        </w:tc>
        <w:tc>
          <w:tcPr>
            <w:tcW w:w="1114" w:type="dxa"/>
            <w:tcBorders>
              <w:top w:val="single" w:sz="8" w:space="0" w:color="AEAEAE"/>
              <w:left w:val="single" w:sz="8" w:space="0" w:color="000000"/>
              <w:bottom w:val="single" w:sz="8" w:space="0" w:color="AEAEAE"/>
              <w:right w:val="single" w:sz="8" w:space="0" w:color="000000"/>
            </w:tcBorders>
            <w:shd w:val="clear" w:color="auto" w:fill="FFFFFF"/>
            <w:vAlign w:val="center"/>
          </w:tcPr>
          <w:p w14:paraId="08AB0BD9" w14:textId="77777777" w:rsidR="00161F12" w:rsidRPr="00161F12" w:rsidRDefault="00161F12" w:rsidP="00161F12">
            <w:pPr>
              <w:autoSpaceDE w:val="0"/>
              <w:autoSpaceDN w:val="0"/>
              <w:adjustRightInd w:val="0"/>
              <w:spacing w:line="480" w:lineRule="auto"/>
              <w:rPr>
                <w:sz w:val="24"/>
                <w:szCs w:val="24"/>
                <w:lang w:val="es-MX"/>
              </w:rPr>
            </w:pPr>
          </w:p>
        </w:tc>
        <w:tc>
          <w:tcPr>
            <w:tcW w:w="913" w:type="dxa"/>
            <w:tcBorders>
              <w:top w:val="single" w:sz="8" w:space="0" w:color="AEAEAE"/>
              <w:left w:val="single" w:sz="8" w:space="0" w:color="000000"/>
              <w:bottom w:val="single" w:sz="8" w:space="0" w:color="AEAEAE"/>
              <w:right w:val="single" w:sz="8" w:space="0" w:color="000000"/>
            </w:tcBorders>
            <w:shd w:val="clear" w:color="auto" w:fill="FFFFFF"/>
          </w:tcPr>
          <w:p w14:paraId="24F2416D" w14:textId="77777777" w:rsidR="00161F12" w:rsidRPr="00161F12" w:rsidRDefault="00161F12" w:rsidP="00161F12">
            <w:pPr>
              <w:autoSpaceDE w:val="0"/>
              <w:autoSpaceDN w:val="0"/>
              <w:adjustRightInd w:val="0"/>
              <w:spacing w:line="480" w:lineRule="auto"/>
              <w:ind w:left="60" w:right="60"/>
              <w:jc w:val="right"/>
              <w:rPr>
                <w:color w:val="000000"/>
                <w:sz w:val="24"/>
                <w:szCs w:val="24"/>
                <w:lang w:val="es-MX"/>
              </w:rPr>
            </w:pPr>
            <w:r w:rsidRPr="00161F12">
              <w:rPr>
                <w:color w:val="000000"/>
                <w:sz w:val="24"/>
                <w:szCs w:val="24"/>
                <w:lang w:val="es-MX"/>
              </w:rPr>
              <w:t>128</w:t>
            </w:r>
          </w:p>
        </w:tc>
        <w:tc>
          <w:tcPr>
            <w:tcW w:w="1315" w:type="dxa"/>
            <w:tcBorders>
              <w:top w:val="single" w:sz="8" w:space="0" w:color="AEAEAE"/>
              <w:left w:val="single" w:sz="8" w:space="0" w:color="000000"/>
              <w:bottom w:val="single" w:sz="8" w:space="0" w:color="AEAEAE"/>
              <w:right w:val="single" w:sz="16" w:space="0" w:color="000000"/>
            </w:tcBorders>
            <w:shd w:val="clear" w:color="auto" w:fill="FFFFFF"/>
          </w:tcPr>
          <w:p w14:paraId="7CC4B1E9" w14:textId="77777777" w:rsidR="00161F12" w:rsidRPr="00161F12" w:rsidRDefault="00161F12" w:rsidP="00161F12">
            <w:pPr>
              <w:autoSpaceDE w:val="0"/>
              <w:autoSpaceDN w:val="0"/>
              <w:adjustRightInd w:val="0"/>
              <w:spacing w:line="480" w:lineRule="auto"/>
              <w:ind w:left="60" w:right="60"/>
              <w:jc w:val="right"/>
              <w:rPr>
                <w:color w:val="000000"/>
                <w:sz w:val="24"/>
                <w:szCs w:val="24"/>
                <w:lang w:val="es-MX"/>
              </w:rPr>
            </w:pPr>
            <w:r w:rsidRPr="00161F12">
              <w:rPr>
                <w:color w:val="000000"/>
                <w:sz w:val="24"/>
                <w:szCs w:val="24"/>
                <w:lang w:val="es-MX"/>
              </w:rPr>
              <w:t>65.6%</w:t>
            </w:r>
          </w:p>
        </w:tc>
      </w:tr>
      <w:tr w:rsidR="00161F12" w:rsidRPr="00161F12" w14:paraId="6A77E711" w14:textId="77777777" w:rsidTr="00161F12">
        <w:trPr>
          <w:cantSplit/>
          <w:trHeight w:val="136"/>
        </w:trPr>
        <w:tc>
          <w:tcPr>
            <w:tcW w:w="2029" w:type="dxa"/>
            <w:vMerge/>
            <w:tcBorders>
              <w:top w:val="single" w:sz="8" w:space="0" w:color="AEAEAE"/>
              <w:left w:val="single" w:sz="16" w:space="0" w:color="000000"/>
              <w:bottom w:val="single" w:sz="8" w:space="0" w:color="AEAEAE"/>
              <w:right w:val="nil"/>
            </w:tcBorders>
            <w:shd w:val="clear" w:color="auto" w:fill="FFFFFF"/>
          </w:tcPr>
          <w:p w14:paraId="51795384" w14:textId="77777777" w:rsidR="00161F12" w:rsidRPr="00161F12" w:rsidRDefault="00161F12" w:rsidP="00161F12">
            <w:pPr>
              <w:autoSpaceDE w:val="0"/>
              <w:autoSpaceDN w:val="0"/>
              <w:adjustRightInd w:val="0"/>
              <w:spacing w:line="480" w:lineRule="auto"/>
              <w:rPr>
                <w:color w:val="000000"/>
                <w:sz w:val="24"/>
                <w:szCs w:val="24"/>
                <w:lang w:val="es-MX"/>
              </w:rPr>
            </w:pPr>
          </w:p>
        </w:tc>
        <w:tc>
          <w:tcPr>
            <w:tcW w:w="2203" w:type="dxa"/>
            <w:tcBorders>
              <w:top w:val="single" w:sz="8" w:space="0" w:color="AEAEAE"/>
              <w:left w:val="nil"/>
              <w:bottom w:val="single" w:sz="8" w:space="0" w:color="AEAEAE"/>
              <w:right w:val="single" w:sz="16" w:space="0" w:color="000000"/>
            </w:tcBorders>
            <w:shd w:val="clear" w:color="auto" w:fill="FFFFFF"/>
          </w:tcPr>
          <w:p w14:paraId="3685D202" w14:textId="77777777" w:rsidR="00161F12" w:rsidRPr="00161F12" w:rsidRDefault="00161F12" w:rsidP="00161F12">
            <w:pPr>
              <w:autoSpaceDE w:val="0"/>
              <w:autoSpaceDN w:val="0"/>
              <w:adjustRightInd w:val="0"/>
              <w:spacing w:line="480" w:lineRule="auto"/>
              <w:ind w:left="60" w:right="60"/>
              <w:rPr>
                <w:color w:val="000000"/>
                <w:sz w:val="24"/>
                <w:szCs w:val="24"/>
                <w:lang w:val="es-MX"/>
              </w:rPr>
            </w:pPr>
            <w:r w:rsidRPr="00161F12">
              <w:rPr>
                <w:color w:val="000000"/>
                <w:sz w:val="24"/>
                <w:szCs w:val="24"/>
                <w:lang w:val="es-MX"/>
              </w:rPr>
              <w:t>cT3a</w:t>
            </w:r>
          </w:p>
        </w:tc>
        <w:tc>
          <w:tcPr>
            <w:tcW w:w="913" w:type="dxa"/>
            <w:tcBorders>
              <w:top w:val="single" w:sz="8" w:space="0" w:color="AEAEAE"/>
              <w:left w:val="single" w:sz="16" w:space="0" w:color="000000"/>
              <w:bottom w:val="single" w:sz="8" w:space="0" w:color="AEAEAE"/>
              <w:right w:val="single" w:sz="8" w:space="0" w:color="000000"/>
            </w:tcBorders>
            <w:shd w:val="clear" w:color="auto" w:fill="FFFFFF"/>
            <w:vAlign w:val="center"/>
          </w:tcPr>
          <w:p w14:paraId="46D67583" w14:textId="77777777" w:rsidR="00161F12" w:rsidRPr="00161F12" w:rsidRDefault="00161F12" w:rsidP="00161F12">
            <w:pPr>
              <w:autoSpaceDE w:val="0"/>
              <w:autoSpaceDN w:val="0"/>
              <w:adjustRightInd w:val="0"/>
              <w:spacing w:line="480" w:lineRule="auto"/>
              <w:rPr>
                <w:sz w:val="24"/>
                <w:szCs w:val="24"/>
                <w:lang w:val="es-MX"/>
              </w:rPr>
            </w:pPr>
          </w:p>
        </w:tc>
        <w:tc>
          <w:tcPr>
            <w:tcW w:w="1114" w:type="dxa"/>
            <w:tcBorders>
              <w:top w:val="single" w:sz="8" w:space="0" w:color="AEAEAE"/>
              <w:left w:val="single" w:sz="8" w:space="0" w:color="000000"/>
              <w:bottom w:val="single" w:sz="8" w:space="0" w:color="AEAEAE"/>
              <w:right w:val="single" w:sz="8" w:space="0" w:color="000000"/>
            </w:tcBorders>
            <w:shd w:val="clear" w:color="auto" w:fill="FFFFFF"/>
            <w:vAlign w:val="center"/>
          </w:tcPr>
          <w:p w14:paraId="2C66F3D0" w14:textId="77777777" w:rsidR="00161F12" w:rsidRPr="00161F12" w:rsidRDefault="00161F12" w:rsidP="00161F12">
            <w:pPr>
              <w:autoSpaceDE w:val="0"/>
              <w:autoSpaceDN w:val="0"/>
              <w:adjustRightInd w:val="0"/>
              <w:spacing w:line="480" w:lineRule="auto"/>
              <w:rPr>
                <w:sz w:val="24"/>
                <w:szCs w:val="24"/>
                <w:lang w:val="es-MX"/>
              </w:rPr>
            </w:pPr>
          </w:p>
        </w:tc>
        <w:tc>
          <w:tcPr>
            <w:tcW w:w="1114" w:type="dxa"/>
            <w:tcBorders>
              <w:top w:val="single" w:sz="8" w:space="0" w:color="AEAEAE"/>
              <w:left w:val="single" w:sz="8" w:space="0" w:color="000000"/>
              <w:bottom w:val="single" w:sz="8" w:space="0" w:color="AEAEAE"/>
              <w:right w:val="single" w:sz="8" w:space="0" w:color="000000"/>
            </w:tcBorders>
            <w:shd w:val="clear" w:color="auto" w:fill="FFFFFF"/>
            <w:vAlign w:val="center"/>
          </w:tcPr>
          <w:p w14:paraId="04A44882" w14:textId="77777777" w:rsidR="00161F12" w:rsidRPr="00161F12" w:rsidRDefault="00161F12" w:rsidP="00161F12">
            <w:pPr>
              <w:autoSpaceDE w:val="0"/>
              <w:autoSpaceDN w:val="0"/>
              <w:adjustRightInd w:val="0"/>
              <w:spacing w:line="480" w:lineRule="auto"/>
              <w:rPr>
                <w:sz w:val="24"/>
                <w:szCs w:val="24"/>
                <w:lang w:val="es-MX"/>
              </w:rPr>
            </w:pPr>
          </w:p>
        </w:tc>
        <w:tc>
          <w:tcPr>
            <w:tcW w:w="913" w:type="dxa"/>
            <w:tcBorders>
              <w:top w:val="single" w:sz="8" w:space="0" w:color="AEAEAE"/>
              <w:left w:val="single" w:sz="8" w:space="0" w:color="000000"/>
              <w:bottom w:val="single" w:sz="8" w:space="0" w:color="AEAEAE"/>
              <w:right w:val="single" w:sz="8" w:space="0" w:color="000000"/>
            </w:tcBorders>
            <w:shd w:val="clear" w:color="auto" w:fill="FFFFFF"/>
          </w:tcPr>
          <w:p w14:paraId="2D7E63D1" w14:textId="77777777" w:rsidR="00161F12" w:rsidRPr="00161F12" w:rsidRDefault="00161F12" w:rsidP="00161F12">
            <w:pPr>
              <w:autoSpaceDE w:val="0"/>
              <w:autoSpaceDN w:val="0"/>
              <w:adjustRightInd w:val="0"/>
              <w:spacing w:line="480" w:lineRule="auto"/>
              <w:ind w:left="60" w:right="60"/>
              <w:jc w:val="right"/>
              <w:rPr>
                <w:color w:val="000000"/>
                <w:sz w:val="24"/>
                <w:szCs w:val="24"/>
                <w:lang w:val="es-MX"/>
              </w:rPr>
            </w:pPr>
            <w:r w:rsidRPr="00161F12">
              <w:rPr>
                <w:color w:val="000000"/>
                <w:sz w:val="24"/>
                <w:szCs w:val="24"/>
                <w:lang w:val="es-MX"/>
              </w:rPr>
              <w:t>48</w:t>
            </w:r>
          </w:p>
        </w:tc>
        <w:tc>
          <w:tcPr>
            <w:tcW w:w="1315" w:type="dxa"/>
            <w:tcBorders>
              <w:top w:val="single" w:sz="8" w:space="0" w:color="AEAEAE"/>
              <w:left w:val="single" w:sz="8" w:space="0" w:color="000000"/>
              <w:bottom w:val="single" w:sz="8" w:space="0" w:color="AEAEAE"/>
              <w:right w:val="single" w:sz="16" w:space="0" w:color="000000"/>
            </w:tcBorders>
            <w:shd w:val="clear" w:color="auto" w:fill="FFFFFF"/>
          </w:tcPr>
          <w:p w14:paraId="64C8126E" w14:textId="77777777" w:rsidR="00161F12" w:rsidRPr="00161F12" w:rsidRDefault="00161F12" w:rsidP="00161F12">
            <w:pPr>
              <w:autoSpaceDE w:val="0"/>
              <w:autoSpaceDN w:val="0"/>
              <w:adjustRightInd w:val="0"/>
              <w:spacing w:line="480" w:lineRule="auto"/>
              <w:ind w:left="60" w:right="60"/>
              <w:jc w:val="right"/>
              <w:rPr>
                <w:color w:val="000000"/>
                <w:sz w:val="24"/>
                <w:szCs w:val="24"/>
                <w:lang w:val="es-MX"/>
              </w:rPr>
            </w:pPr>
            <w:r w:rsidRPr="00161F12">
              <w:rPr>
                <w:color w:val="000000"/>
                <w:sz w:val="24"/>
                <w:szCs w:val="24"/>
                <w:lang w:val="es-MX"/>
              </w:rPr>
              <w:t>24.6%</w:t>
            </w:r>
          </w:p>
        </w:tc>
      </w:tr>
      <w:tr w:rsidR="00161F12" w:rsidRPr="00161F12" w14:paraId="64BB8EBD" w14:textId="77777777" w:rsidTr="00161F12">
        <w:trPr>
          <w:cantSplit/>
          <w:trHeight w:val="136"/>
        </w:trPr>
        <w:tc>
          <w:tcPr>
            <w:tcW w:w="2029" w:type="dxa"/>
            <w:vMerge/>
            <w:tcBorders>
              <w:top w:val="single" w:sz="8" w:space="0" w:color="AEAEAE"/>
              <w:left w:val="single" w:sz="16" w:space="0" w:color="000000"/>
              <w:bottom w:val="single" w:sz="8" w:space="0" w:color="AEAEAE"/>
              <w:right w:val="nil"/>
            </w:tcBorders>
            <w:shd w:val="clear" w:color="auto" w:fill="FFFFFF"/>
          </w:tcPr>
          <w:p w14:paraId="14E8609A" w14:textId="77777777" w:rsidR="00161F12" w:rsidRPr="00161F12" w:rsidRDefault="00161F12" w:rsidP="00161F12">
            <w:pPr>
              <w:autoSpaceDE w:val="0"/>
              <w:autoSpaceDN w:val="0"/>
              <w:adjustRightInd w:val="0"/>
              <w:spacing w:line="480" w:lineRule="auto"/>
              <w:rPr>
                <w:color w:val="000000"/>
                <w:sz w:val="24"/>
                <w:szCs w:val="24"/>
                <w:lang w:val="es-MX"/>
              </w:rPr>
            </w:pPr>
          </w:p>
        </w:tc>
        <w:tc>
          <w:tcPr>
            <w:tcW w:w="2203" w:type="dxa"/>
            <w:tcBorders>
              <w:top w:val="single" w:sz="8" w:space="0" w:color="AEAEAE"/>
              <w:left w:val="nil"/>
              <w:bottom w:val="single" w:sz="8" w:space="0" w:color="AEAEAE"/>
              <w:right w:val="single" w:sz="16" w:space="0" w:color="000000"/>
            </w:tcBorders>
            <w:shd w:val="clear" w:color="auto" w:fill="FFFFFF"/>
          </w:tcPr>
          <w:p w14:paraId="31CEBD3A" w14:textId="77777777" w:rsidR="00161F12" w:rsidRPr="00161F12" w:rsidRDefault="00161F12" w:rsidP="00161F12">
            <w:pPr>
              <w:autoSpaceDE w:val="0"/>
              <w:autoSpaceDN w:val="0"/>
              <w:adjustRightInd w:val="0"/>
              <w:spacing w:line="480" w:lineRule="auto"/>
              <w:ind w:left="60" w:right="60"/>
              <w:rPr>
                <w:color w:val="000000"/>
                <w:sz w:val="24"/>
                <w:szCs w:val="24"/>
                <w:lang w:val="es-MX"/>
              </w:rPr>
            </w:pPr>
            <w:r w:rsidRPr="00161F12">
              <w:rPr>
                <w:color w:val="000000"/>
                <w:sz w:val="24"/>
                <w:szCs w:val="24"/>
                <w:lang w:val="es-MX"/>
              </w:rPr>
              <w:t>cT3b</w:t>
            </w:r>
          </w:p>
        </w:tc>
        <w:tc>
          <w:tcPr>
            <w:tcW w:w="913" w:type="dxa"/>
            <w:tcBorders>
              <w:top w:val="single" w:sz="8" w:space="0" w:color="AEAEAE"/>
              <w:left w:val="single" w:sz="16" w:space="0" w:color="000000"/>
              <w:bottom w:val="single" w:sz="8" w:space="0" w:color="AEAEAE"/>
              <w:right w:val="single" w:sz="8" w:space="0" w:color="000000"/>
            </w:tcBorders>
            <w:shd w:val="clear" w:color="auto" w:fill="FFFFFF"/>
            <w:vAlign w:val="center"/>
          </w:tcPr>
          <w:p w14:paraId="633E2645" w14:textId="77777777" w:rsidR="00161F12" w:rsidRPr="00161F12" w:rsidRDefault="00161F12" w:rsidP="00161F12">
            <w:pPr>
              <w:autoSpaceDE w:val="0"/>
              <w:autoSpaceDN w:val="0"/>
              <w:adjustRightInd w:val="0"/>
              <w:spacing w:line="480" w:lineRule="auto"/>
              <w:rPr>
                <w:sz w:val="24"/>
                <w:szCs w:val="24"/>
                <w:lang w:val="es-MX"/>
              </w:rPr>
            </w:pPr>
          </w:p>
        </w:tc>
        <w:tc>
          <w:tcPr>
            <w:tcW w:w="1114" w:type="dxa"/>
            <w:tcBorders>
              <w:top w:val="single" w:sz="8" w:space="0" w:color="AEAEAE"/>
              <w:left w:val="single" w:sz="8" w:space="0" w:color="000000"/>
              <w:bottom w:val="single" w:sz="8" w:space="0" w:color="AEAEAE"/>
              <w:right w:val="single" w:sz="8" w:space="0" w:color="000000"/>
            </w:tcBorders>
            <w:shd w:val="clear" w:color="auto" w:fill="FFFFFF"/>
            <w:vAlign w:val="center"/>
          </w:tcPr>
          <w:p w14:paraId="624F1ADA" w14:textId="77777777" w:rsidR="00161F12" w:rsidRPr="00161F12" w:rsidRDefault="00161F12" w:rsidP="00161F12">
            <w:pPr>
              <w:autoSpaceDE w:val="0"/>
              <w:autoSpaceDN w:val="0"/>
              <w:adjustRightInd w:val="0"/>
              <w:spacing w:line="480" w:lineRule="auto"/>
              <w:rPr>
                <w:sz w:val="24"/>
                <w:szCs w:val="24"/>
                <w:lang w:val="es-MX"/>
              </w:rPr>
            </w:pPr>
          </w:p>
        </w:tc>
        <w:tc>
          <w:tcPr>
            <w:tcW w:w="1114" w:type="dxa"/>
            <w:tcBorders>
              <w:top w:val="single" w:sz="8" w:space="0" w:color="AEAEAE"/>
              <w:left w:val="single" w:sz="8" w:space="0" w:color="000000"/>
              <w:bottom w:val="single" w:sz="8" w:space="0" w:color="AEAEAE"/>
              <w:right w:val="single" w:sz="8" w:space="0" w:color="000000"/>
            </w:tcBorders>
            <w:shd w:val="clear" w:color="auto" w:fill="FFFFFF"/>
            <w:vAlign w:val="center"/>
          </w:tcPr>
          <w:p w14:paraId="0FC60BB8" w14:textId="77777777" w:rsidR="00161F12" w:rsidRPr="00161F12" w:rsidRDefault="00161F12" w:rsidP="00161F12">
            <w:pPr>
              <w:autoSpaceDE w:val="0"/>
              <w:autoSpaceDN w:val="0"/>
              <w:adjustRightInd w:val="0"/>
              <w:spacing w:line="480" w:lineRule="auto"/>
              <w:rPr>
                <w:sz w:val="24"/>
                <w:szCs w:val="24"/>
                <w:lang w:val="es-MX"/>
              </w:rPr>
            </w:pPr>
          </w:p>
        </w:tc>
        <w:tc>
          <w:tcPr>
            <w:tcW w:w="913" w:type="dxa"/>
            <w:tcBorders>
              <w:top w:val="single" w:sz="8" w:space="0" w:color="AEAEAE"/>
              <w:left w:val="single" w:sz="8" w:space="0" w:color="000000"/>
              <w:bottom w:val="single" w:sz="8" w:space="0" w:color="AEAEAE"/>
              <w:right w:val="single" w:sz="8" w:space="0" w:color="000000"/>
            </w:tcBorders>
            <w:shd w:val="clear" w:color="auto" w:fill="FFFFFF"/>
          </w:tcPr>
          <w:p w14:paraId="3BBC423F" w14:textId="77777777" w:rsidR="00161F12" w:rsidRPr="00161F12" w:rsidRDefault="00161F12" w:rsidP="00161F12">
            <w:pPr>
              <w:autoSpaceDE w:val="0"/>
              <w:autoSpaceDN w:val="0"/>
              <w:adjustRightInd w:val="0"/>
              <w:spacing w:line="480" w:lineRule="auto"/>
              <w:ind w:left="60" w:right="60"/>
              <w:jc w:val="right"/>
              <w:rPr>
                <w:color w:val="000000"/>
                <w:sz w:val="24"/>
                <w:szCs w:val="24"/>
                <w:lang w:val="es-MX"/>
              </w:rPr>
            </w:pPr>
            <w:r w:rsidRPr="00161F12">
              <w:rPr>
                <w:color w:val="000000"/>
                <w:sz w:val="24"/>
                <w:szCs w:val="24"/>
                <w:lang w:val="es-MX"/>
              </w:rPr>
              <w:t>19</w:t>
            </w:r>
          </w:p>
        </w:tc>
        <w:tc>
          <w:tcPr>
            <w:tcW w:w="1315" w:type="dxa"/>
            <w:tcBorders>
              <w:top w:val="single" w:sz="8" w:space="0" w:color="AEAEAE"/>
              <w:left w:val="single" w:sz="8" w:space="0" w:color="000000"/>
              <w:bottom w:val="single" w:sz="8" w:space="0" w:color="AEAEAE"/>
              <w:right w:val="single" w:sz="16" w:space="0" w:color="000000"/>
            </w:tcBorders>
            <w:shd w:val="clear" w:color="auto" w:fill="FFFFFF"/>
          </w:tcPr>
          <w:p w14:paraId="404651C3" w14:textId="77777777" w:rsidR="00161F12" w:rsidRPr="00161F12" w:rsidRDefault="00161F12" w:rsidP="00161F12">
            <w:pPr>
              <w:autoSpaceDE w:val="0"/>
              <w:autoSpaceDN w:val="0"/>
              <w:adjustRightInd w:val="0"/>
              <w:spacing w:line="480" w:lineRule="auto"/>
              <w:ind w:left="60" w:right="60"/>
              <w:jc w:val="right"/>
              <w:rPr>
                <w:color w:val="000000"/>
                <w:sz w:val="24"/>
                <w:szCs w:val="24"/>
                <w:lang w:val="es-MX"/>
              </w:rPr>
            </w:pPr>
            <w:r w:rsidRPr="00161F12">
              <w:rPr>
                <w:color w:val="000000"/>
                <w:sz w:val="24"/>
                <w:szCs w:val="24"/>
                <w:lang w:val="es-MX"/>
              </w:rPr>
              <w:t>9.7%</w:t>
            </w:r>
          </w:p>
        </w:tc>
      </w:tr>
      <w:tr w:rsidR="00161F12" w:rsidRPr="00161F12" w14:paraId="121F4E4C" w14:textId="77777777" w:rsidTr="00161F12">
        <w:trPr>
          <w:cantSplit/>
          <w:trHeight w:val="301"/>
        </w:trPr>
        <w:tc>
          <w:tcPr>
            <w:tcW w:w="2029" w:type="dxa"/>
            <w:vMerge w:val="restart"/>
            <w:tcBorders>
              <w:top w:val="single" w:sz="8" w:space="0" w:color="AEAEAE"/>
              <w:left w:val="single" w:sz="16" w:space="0" w:color="000000"/>
              <w:bottom w:val="single" w:sz="8" w:space="0" w:color="AEAEAE"/>
              <w:right w:val="nil"/>
            </w:tcBorders>
            <w:shd w:val="clear" w:color="auto" w:fill="FFFFFF"/>
          </w:tcPr>
          <w:p w14:paraId="0A5FCDE4" w14:textId="77777777" w:rsidR="00161F12" w:rsidRPr="00161F12" w:rsidRDefault="00161F12" w:rsidP="00161F12">
            <w:pPr>
              <w:autoSpaceDE w:val="0"/>
              <w:autoSpaceDN w:val="0"/>
              <w:adjustRightInd w:val="0"/>
              <w:spacing w:line="480" w:lineRule="auto"/>
              <w:ind w:left="60" w:right="60"/>
              <w:rPr>
                <w:color w:val="000000"/>
                <w:sz w:val="24"/>
                <w:szCs w:val="24"/>
                <w:lang w:val="es-MX"/>
              </w:rPr>
            </w:pPr>
            <w:r w:rsidRPr="00161F12">
              <w:rPr>
                <w:color w:val="000000"/>
                <w:sz w:val="24"/>
                <w:szCs w:val="24"/>
                <w:lang w:val="es-MX"/>
              </w:rPr>
              <w:t>cN PET PSMA</w:t>
            </w:r>
          </w:p>
        </w:tc>
        <w:tc>
          <w:tcPr>
            <w:tcW w:w="2203" w:type="dxa"/>
            <w:tcBorders>
              <w:top w:val="single" w:sz="8" w:space="0" w:color="AEAEAE"/>
              <w:left w:val="nil"/>
              <w:bottom w:val="single" w:sz="8" w:space="0" w:color="AEAEAE"/>
              <w:right w:val="single" w:sz="16" w:space="0" w:color="000000"/>
            </w:tcBorders>
            <w:shd w:val="clear" w:color="auto" w:fill="FFFFFF"/>
          </w:tcPr>
          <w:p w14:paraId="186A6684" w14:textId="77777777" w:rsidR="00161F12" w:rsidRPr="00161F12" w:rsidRDefault="00161F12" w:rsidP="00161F12">
            <w:pPr>
              <w:autoSpaceDE w:val="0"/>
              <w:autoSpaceDN w:val="0"/>
              <w:adjustRightInd w:val="0"/>
              <w:spacing w:line="480" w:lineRule="auto"/>
              <w:ind w:left="60" w:right="60"/>
              <w:rPr>
                <w:color w:val="000000"/>
                <w:sz w:val="24"/>
                <w:szCs w:val="24"/>
                <w:lang w:val="es-MX"/>
              </w:rPr>
            </w:pPr>
            <w:r w:rsidRPr="00161F12">
              <w:rPr>
                <w:color w:val="000000"/>
                <w:sz w:val="24"/>
                <w:szCs w:val="24"/>
                <w:lang w:val="es-MX"/>
              </w:rPr>
              <w:t>cN0</w:t>
            </w:r>
          </w:p>
        </w:tc>
        <w:tc>
          <w:tcPr>
            <w:tcW w:w="913" w:type="dxa"/>
            <w:tcBorders>
              <w:top w:val="single" w:sz="8" w:space="0" w:color="AEAEAE"/>
              <w:left w:val="single" w:sz="16" w:space="0" w:color="000000"/>
              <w:bottom w:val="single" w:sz="8" w:space="0" w:color="AEAEAE"/>
              <w:right w:val="single" w:sz="8" w:space="0" w:color="000000"/>
            </w:tcBorders>
            <w:shd w:val="clear" w:color="auto" w:fill="FFFFFF"/>
            <w:vAlign w:val="center"/>
          </w:tcPr>
          <w:p w14:paraId="44EBA2C1" w14:textId="77777777" w:rsidR="00161F12" w:rsidRPr="00161F12" w:rsidRDefault="00161F12" w:rsidP="00161F12">
            <w:pPr>
              <w:autoSpaceDE w:val="0"/>
              <w:autoSpaceDN w:val="0"/>
              <w:adjustRightInd w:val="0"/>
              <w:spacing w:line="480" w:lineRule="auto"/>
              <w:rPr>
                <w:sz w:val="24"/>
                <w:szCs w:val="24"/>
                <w:lang w:val="es-MX"/>
              </w:rPr>
            </w:pPr>
          </w:p>
        </w:tc>
        <w:tc>
          <w:tcPr>
            <w:tcW w:w="1114" w:type="dxa"/>
            <w:tcBorders>
              <w:top w:val="single" w:sz="8" w:space="0" w:color="AEAEAE"/>
              <w:left w:val="single" w:sz="8" w:space="0" w:color="000000"/>
              <w:bottom w:val="single" w:sz="8" w:space="0" w:color="AEAEAE"/>
              <w:right w:val="single" w:sz="8" w:space="0" w:color="000000"/>
            </w:tcBorders>
            <w:shd w:val="clear" w:color="auto" w:fill="FFFFFF"/>
            <w:vAlign w:val="center"/>
          </w:tcPr>
          <w:p w14:paraId="1ECFA6EC" w14:textId="77777777" w:rsidR="00161F12" w:rsidRPr="00161F12" w:rsidRDefault="00161F12" w:rsidP="00161F12">
            <w:pPr>
              <w:autoSpaceDE w:val="0"/>
              <w:autoSpaceDN w:val="0"/>
              <w:adjustRightInd w:val="0"/>
              <w:spacing w:line="480" w:lineRule="auto"/>
              <w:rPr>
                <w:sz w:val="24"/>
                <w:szCs w:val="24"/>
                <w:lang w:val="es-MX"/>
              </w:rPr>
            </w:pPr>
          </w:p>
        </w:tc>
        <w:tc>
          <w:tcPr>
            <w:tcW w:w="1114" w:type="dxa"/>
            <w:tcBorders>
              <w:top w:val="single" w:sz="8" w:space="0" w:color="AEAEAE"/>
              <w:left w:val="single" w:sz="8" w:space="0" w:color="000000"/>
              <w:bottom w:val="single" w:sz="8" w:space="0" w:color="AEAEAE"/>
              <w:right w:val="single" w:sz="8" w:space="0" w:color="000000"/>
            </w:tcBorders>
            <w:shd w:val="clear" w:color="auto" w:fill="FFFFFF"/>
            <w:vAlign w:val="center"/>
          </w:tcPr>
          <w:p w14:paraId="1F43794A" w14:textId="77777777" w:rsidR="00161F12" w:rsidRPr="00161F12" w:rsidRDefault="00161F12" w:rsidP="00161F12">
            <w:pPr>
              <w:autoSpaceDE w:val="0"/>
              <w:autoSpaceDN w:val="0"/>
              <w:adjustRightInd w:val="0"/>
              <w:spacing w:line="480" w:lineRule="auto"/>
              <w:rPr>
                <w:sz w:val="24"/>
                <w:szCs w:val="24"/>
                <w:lang w:val="es-MX"/>
              </w:rPr>
            </w:pPr>
          </w:p>
        </w:tc>
        <w:tc>
          <w:tcPr>
            <w:tcW w:w="913" w:type="dxa"/>
            <w:tcBorders>
              <w:top w:val="single" w:sz="8" w:space="0" w:color="AEAEAE"/>
              <w:left w:val="single" w:sz="8" w:space="0" w:color="000000"/>
              <w:bottom w:val="single" w:sz="8" w:space="0" w:color="AEAEAE"/>
              <w:right w:val="single" w:sz="8" w:space="0" w:color="000000"/>
            </w:tcBorders>
            <w:shd w:val="clear" w:color="auto" w:fill="FFFFFF"/>
          </w:tcPr>
          <w:p w14:paraId="7A90BF48" w14:textId="77777777" w:rsidR="00161F12" w:rsidRPr="00161F12" w:rsidRDefault="00161F12" w:rsidP="00161F12">
            <w:pPr>
              <w:autoSpaceDE w:val="0"/>
              <w:autoSpaceDN w:val="0"/>
              <w:adjustRightInd w:val="0"/>
              <w:spacing w:line="480" w:lineRule="auto"/>
              <w:ind w:left="60" w:right="60"/>
              <w:jc w:val="right"/>
              <w:rPr>
                <w:color w:val="000000"/>
                <w:sz w:val="24"/>
                <w:szCs w:val="24"/>
                <w:lang w:val="es-MX"/>
              </w:rPr>
            </w:pPr>
            <w:r w:rsidRPr="00161F12">
              <w:rPr>
                <w:color w:val="000000"/>
                <w:sz w:val="24"/>
                <w:szCs w:val="24"/>
                <w:lang w:val="es-MX"/>
              </w:rPr>
              <w:t>171</w:t>
            </w:r>
          </w:p>
        </w:tc>
        <w:tc>
          <w:tcPr>
            <w:tcW w:w="1315" w:type="dxa"/>
            <w:tcBorders>
              <w:top w:val="single" w:sz="8" w:space="0" w:color="AEAEAE"/>
              <w:left w:val="single" w:sz="8" w:space="0" w:color="000000"/>
              <w:bottom w:val="single" w:sz="8" w:space="0" w:color="AEAEAE"/>
              <w:right w:val="single" w:sz="16" w:space="0" w:color="000000"/>
            </w:tcBorders>
            <w:shd w:val="clear" w:color="auto" w:fill="FFFFFF"/>
          </w:tcPr>
          <w:p w14:paraId="1E071E3A" w14:textId="77777777" w:rsidR="00161F12" w:rsidRPr="00161F12" w:rsidRDefault="00161F12" w:rsidP="00161F12">
            <w:pPr>
              <w:autoSpaceDE w:val="0"/>
              <w:autoSpaceDN w:val="0"/>
              <w:adjustRightInd w:val="0"/>
              <w:spacing w:line="480" w:lineRule="auto"/>
              <w:ind w:left="60" w:right="60"/>
              <w:jc w:val="right"/>
              <w:rPr>
                <w:color w:val="000000"/>
                <w:sz w:val="24"/>
                <w:szCs w:val="24"/>
                <w:lang w:val="es-MX"/>
              </w:rPr>
            </w:pPr>
            <w:r w:rsidRPr="00161F12">
              <w:rPr>
                <w:color w:val="000000"/>
                <w:sz w:val="24"/>
                <w:szCs w:val="24"/>
                <w:lang w:val="es-MX"/>
              </w:rPr>
              <w:t>87.7%</w:t>
            </w:r>
          </w:p>
        </w:tc>
      </w:tr>
      <w:tr w:rsidR="00161F12" w:rsidRPr="00161F12" w14:paraId="5B72883B" w14:textId="77777777" w:rsidTr="00161F12">
        <w:trPr>
          <w:cantSplit/>
          <w:trHeight w:val="136"/>
        </w:trPr>
        <w:tc>
          <w:tcPr>
            <w:tcW w:w="2029" w:type="dxa"/>
            <w:vMerge/>
            <w:tcBorders>
              <w:top w:val="single" w:sz="8" w:space="0" w:color="AEAEAE"/>
              <w:left w:val="single" w:sz="16" w:space="0" w:color="000000"/>
              <w:bottom w:val="single" w:sz="8" w:space="0" w:color="AEAEAE"/>
              <w:right w:val="nil"/>
            </w:tcBorders>
            <w:shd w:val="clear" w:color="auto" w:fill="FFFFFF"/>
          </w:tcPr>
          <w:p w14:paraId="560B6810" w14:textId="77777777" w:rsidR="00161F12" w:rsidRPr="00161F12" w:rsidRDefault="00161F12" w:rsidP="00161F12">
            <w:pPr>
              <w:autoSpaceDE w:val="0"/>
              <w:autoSpaceDN w:val="0"/>
              <w:adjustRightInd w:val="0"/>
              <w:spacing w:line="480" w:lineRule="auto"/>
              <w:rPr>
                <w:color w:val="000000"/>
                <w:sz w:val="24"/>
                <w:szCs w:val="24"/>
                <w:lang w:val="es-MX"/>
              </w:rPr>
            </w:pPr>
          </w:p>
        </w:tc>
        <w:tc>
          <w:tcPr>
            <w:tcW w:w="2203" w:type="dxa"/>
            <w:tcBorders>
              <w:top w:val="single" w:sz="8" w:space="0" w:color="AEAEAE"/>
              <w:left w:val="nil"/>
              <w:bottom w:val="single" w:sz="8" w:space="0" w:color="AEAEAE"/>
              <w:right w:val="single" w:sz="16" w:space="0" w:color="000000"/>
            </w:tcBorders>
            <w:shd w:val="clear" w:color="auto" w:fill="FFFFFF"/>
          </w:tcPr>
          <w:p w14:paraId="0EA41F55" w14:textId="77777777" w:rsidR="00161F12" w:rsidRPr="00161F12" w:rsidRDefault="00161F12" w:rsidP="00161F12">
            <w:pPr>
              <w:autoSpaceDE w:val="0"/>
              <w:autoSpaceDN w:val="0"/>
              <w:adjustRightInd w:val="0"/>
              <w:spacing w:line="480" w:lineRule="auto"/>
              <w:ind w:left="60" w:right="60"/>
              <w:rPr>
                <w:color w:val="000000"/>
                <w:sz w:val="24"/>
                <w:szCs w:val="24"/>
                <w:lang w:val="es-MX"/>
              </w:rPr>
            </w:pPr>
            <w:r w:rsidRPr="00161F12">
              <w:rPr>
                <w:color w:val="000000"/>
                <w:sz w:val="24"/>
                <w:szCs w:val="24"/>
                <w:lang w:val="es-MX"/>
              </w:rPr>
              <w:t>cN1</w:t>
            </w:r>
          </w:p>
        </w:tc>
        <w:tc>
          <w:tcPr>
            <w:tcW w:w="913" w:type="dxa"/>
            <w:tcBorders>
              <w:top w:val="single" w:sz="8" w:space="0" w:color="AEAEAE"/>
              <w:left w:val="single" w:sz="16" w:space="0" w:color="000000"/>
              <w:bottom w:val="single" w:sz="8" w:space="0" w:color="AEAEAE"/>
              <w:right w:val="single" w:sz="8" w:space="0" w:color="000000"/>
            </w:tcBorders>
            <w:shd w:val="clear" w:color="auto" w:fill="FFFFFF"/>
            <w:vAlign w:val="center"/>
          </w:tcPr>
          <w:p w14:paraId="4952BA79" w14:textId="77777777" w:rsidR="00161F12" w:rsidRPr="00161F12" w:rsidRDefault="00161F12" w:rsidP="00161F12">
            <w:pPr>
              <w:autoSpaceDE w:val="0"/>
              <w:autoSpaceDN w:val="0"/>
              <w:adjustRightInd w:val="0"/>
              <w:spacing w:line="480" w:lineRule="auto"/>
              <w:rPr>
                <w:sz w:val="24"/>
                <w:szCs w:val="24"/>
                <w:lang w:val="es-MX"/>
              </w:rPr>
            </w:pPr>
          </w:p>
        </w:tc>
        <w:tc>
          <w:tcPr>
            <w:tcW w:w="1114" w:type="dxa"/>
            <w:tcBorders>
              <w:top w:val="single" w:sz="8" w:space="0" w:color="AEAEAE"/>
              <w:left w:val="single" w:sz="8" w:space="0" w:color="000000"/>
              <w:bottom w:val="single" w:sz="8" w:space="0" w:color="AEAEAE"/>
              <w:right w:val="single" w:sz="8" w:space="0" w:color="000000"/>
            </w:tcBorders>
            <w:shd w:val="clear" w:color="auto" w:fill="FFFFFF"/>
            <w:vAlign w:val="center"/>
          </w:tcPr>
          <w:p w14:paraId="05C88F73" w14:textId="77777777" w:rsidR="00161F12" w:rsidRPr="00161F12" w:rsidRDefault="00161F12" w:rsidP="00161F12">
            <w:pPr>
              <w:autoSpaceDE w:val="0"/>
              <w:autoSpaceDN w:val="0"/>
              <w:adjustRightInd w:val="0"/>
              <w:spacing w:line="480" w:lineRule="auto"/>
              <w:rPr>
                <w:sz w:val="24"/>
                <w:szCs w:val="24"/>
                <w:lang w:val="es-MX"/>
              </w:rPr>
            </w:pPr>
          </w:p>
        </w:tc>
        <w:tc>
          <w:tcPr>
            <w:tcW w:w="1114" w:type="dxa"/>
            <w:tcBorders>
              <w:top w:val="single" w:sz="8" w:space="0" w:color="AEAEAE"/>
              <w:left w:val="single" w:sz="8" w:space="0" w:color="000000"/>
              <w:bottom w:val="single" w:sz="8" w:space="0" w:color="AEAEAE"/>
              <w:right w:val="single" w:sz="8" w:space="0" w:color="000000"/>
            </w:tcBorders>
            <w:shd w:val="clear" w:color="auto" w:fill="FFFFFF"/>
            <w:vAlign w:val="center"/>
          </w:tcPr>
          <w:p w14:paraId="7A33D9EF" w14:textId="77777777" w:rsidR="00161F12" w:rsidRPr="00161F12" w:rsidRDefault="00161F12" w:rsidP="00161F12">
            <w:pPr>
              <w:autoSpaceDE w:val="0"/>
              <w:autoSpaceDN w:val="0"/>
              <w:adjustRightInd w:val="0"/>
              <w:spacing w:line="480" w:lineRule="auto"/>
              <w:rPr>
                <w:sz w:val="24"/>
                <w:szCs w:val="24"/>
                <w:lang w:val="es-MX"/>
              </w:rPr>
            </w:pPr>
          </w:p>
        </w:tc>
        <w:tc>
          <w:tcPr>
            <w:tcW w:w="913" w:type="dxa"/>
            <w:tcBorders>
              <w:top w:val="single" w:sz="8" w:space="0" w:color="AEAEAE"/>
              <w:left w:val="single" w:sz="8" w:space="0" w:color="000000"/>
              <w:bottom w:val="single" w:sz="8" w:space="0" w:color="AEAEAE"/>
              <w:right w:val="single" w:sz="8" w:space="0" w:color="000000"/>
            </w:tcBorders>
            <w:shd w:val="clear" w:color="auto" w:fill="FFFFFF"/>
          </w:tcPr>
          <w:p w14:paraId="323C97A4" w14:textId="77777777" w:rsidR="00161F12" w:rsidRPr="00161F12" w:rsidRDefault="00161F12" w:rsidP="00161F12">
            <w:pPr>
              <w:autoSpaceDE w:val="0"/>
              <w:autoSpaceDN w:val="0"/>
              <w:adjustRightInd w:val="0"/>
              <w:spacing w:line="480" w:lineRule="auto"/>
              <w:ind w:left="60" w:right="60"/>
              <w:jc w:val="right"/>
              <w:rPr>
                <w:color w:val="000000"/>
                <w:sz w:val="24"/>
                <w:szCs w:val="24"/>
                <w:lang w:val="es-MX"/>
              </w:rPr>
            </w:pPr>
            <w:r w:rsidRPr="00161F12">
              <w:rPr>
                <w:color w:val="000000"/>
                <w:sz w:val="24"/>
                <w:szCs w:val="24"/>
                <w:lang w:val="es-MX"/>
              </w:rPr>
              <w:t>24</w:t>
            </w:r>
          </w:p>
        </w:tc>
        <w:tc>
          <w:tcPr>
            <w:tcW w:w="1315" w:type="dxa"/>
            <w:tcBorders>
              <w:top w:val="single" w:sz="8" w:space="0" w:color="AEAEAE"/>
              <w:left w:val="single" w:sz="8" w:space="0" w:color="000000"/>
              <w:bottom w:val="single" w:sz="8" w:space="0" w:color="AEAEAE"/>
              <w:right w:val="single" w:sz="16" w:space="0" w:color="000000"/>
            </w:tcBorders>
            <w:shd w:val="clear" w:color="auto" w:fill="FFFFFF"/>
          </w:tcPr>
          <w:p w14:paraId="5992451E" w14:textId="77777777" w:rsidR="00161F12" w:rsidRPr="00161F12" w:rsidRDefault="00161F12" w:rsidP="00161F12">
            <w:pPr>
              <w:autoSpaceDE w:val="0"/>
              <w:autoSpaceDN w:val="0"/>
              <w:adjustRightInd w:val="0"/>
              <w:spacing w:line="480" w:lineRule="auto"/>
              <w:ind w:left="60" w:right="60"/>
              <w:jc w:val="right"/>
              <w:rPr>
                <w:color w:val="000000"/>
                <w:sz w:val="24"/>
                <w:szCs w:val="24"/>
                <w:lang w:val="es-MX"/>
              </w:rPr>
            </w:pPr>
            <w:r w:rsidRPr="00161F12">
              <w:rPr>
                <w:color w:val="000000"/>
                <w:sz w:val="24"/>
                <w:szCs w:val="24"/>
                <w:lang w:val="es-MX"/>
              </w:rPr>
              <w:t>12.3%</w:t>
            </w:r>
          </w:p>
        </w:tc>
      </w:tr>
      <w:tr w:rsidR="00161F12" w:rsidRPr="00161F12" w14:paraId="60D1150C" w14:textId="77777777" w:rsidTr="00161F12">
        <w:trPr>
          <w:cantSplit/>
          <w:trHeight w:val="301"/>
        </w:trPr>
        <w:tc>
          <w:tcPr>
            <w:tcW w:w="4233" w:type="dxa"/>
            <w:gridSpan w:val="2"/>
            <w:tcBorders>
              <w:top w:val="single" w:sz="8" w:space="0" w:color="AEAEAE"/>
              <w:left w:val="single" w:sz="16" w:space="0" w:color="000000"/>
              <w:bottom w:val="single" w:sz="8" w:space="0" w:color="AEAEAE"/>
              <w:right w:val="nil"/>
            </w:tcBorders>
            <w:shd w:val="clear" w:color="auto" w:fill="FFFFFF"/>
          </w:tcPr>
          <w:p w14:paraId="53E134B2" w14:textId="77777777" w:rsidR="00161F12" w:rsidRPr="00161F12" w:rsidRDefault="00161F12" w:rsidP="00161F12">
            <w:pPr>
              <w:autoSpaceDE w:val="0"/>
              <w:autoSpaceDN w:val="0"/>
              <w:adjustRightInd w:val="0"/>
              <w:spacing w:line="480" w:lineRule="auto"/>
              <w:ind w:left="60" w:right="60"/>
              <w:rPr>
                <w:color w:val="000000"/>
                <w:sz w:val="24"/>
                <w:szCs w:val="24"/>
                <w:lang w:val="es-MX"/>
              </w:rPr>
            </w:pPr>
            <w:r w:rsidRPr="00161F12">
              <w:rPr>
                <w:color w:val="000000"/>
                <w:sz w:val="24"/>
                <w:szCs w:val="24"/>
                <w:lang w:val="es-MX"/>
              </w:rPr>
              <w:t>Tamaño lesion MRI (mm)</w:t>
            </w:r>
          </w:p>
        </w:tc>
        <w:tc>
          <w:tcPr>
            <w:tcW w:w="913" w:type="dxa"/>
            <w:tcBorders>
              <w:top w:val="single" w:sz="8" w:space="0" w:color="AEAEAE"/>
              <w:left w:val="single" w:sz="16" w:space="0" w:color="000000"/>
              <w:bottom w:val="single" w:sz="8" w:space="0" w:color="AEAEAE"/>
              <w:right w:val="single" w:sz="8" w:space="0" w:color="000000"/>
            </w:tcBorders>
            <w:shd w:val="clear" w:color="auto" w:fill="FFFFFF"/>
          </w:tcPr>
          <w:p w14:paraId="01AF74C6" w14:textId="77777777" w:rsidR="00161F12" w:rsidRPr="00161F12" w:rsidRDefault="00161F12" w:rsidP="00161F12">
            <w:pPr>
              <w:autoSpaceDE w:val="0"/>
              <w:autoSpaceDN w:val="0"/>
              <w:adjustRightInd w:val="0"/>
              <w:spacing w:line="480" w:lineRule="auto"/>
              <w:ind w:left="60" w:right="60"/>
              <w:jc w:val="right"/>
              <w:rPr>
                <w:color w:val="000000"/>
                <w:sz w:val="24"/>
                <w:szCs w:val="24"/>
                <w:lang w:val="es-MX"/>
              </w:rPr>
            </w:pPr>
            <w:r w:rsidRPr="00161F12">
              <w:rPr>
                <w:color w:val="000000"/>
                <w:sz w:val="24"/>
                <w:szCs w:val="24"/>
                <w:lang w:val="es-MX"/>
              </w:rPr>
              <w:t>14.0</w:t>
            </w:r>
          </w:p>
        </w:tc>
        <w:tc>
          <w:tcPr>
            <w:tcW w:w="1114" w:type="dxa"/>
            <w:tcBorders>
              <w:top w:val="single" w:sz="8" w:space="0" w:color="AEAEAE"/>
              <w:left w:val="single" w:sz="8" w:space="0" w:color="000000"/>
              <w:bottom w:val="single" w:sz="8" w:space="0" w:color="AEAEAE"/>
              <w:right w:val="single" w:sz="8" w:space="0" w:color="000000"/>
            </w:tcBorders>
            <w:shd w:val="clear" w:color="auto" w:fill="FFFFFF"/>
          </w:tcPr>
          <w:p w14:paraId="431F76D1" w14:textId="77777777" w:rsidR="00161F12" w:rsidRPr="00161F12" w:rsidRDefault="00161F12" w:rsidP="00161F12">
            <w:pPr>
              <w:autoSpaceDE w:val="0"/>
              <w:autoSpaceDN w:val="0"/>
              <w:adjustRightInd w:val="0"/>
              <w:spacing w:line="480" w:lineRule="auto"/>
              <w:ind w:left="60" w:right="60"/>
              <w:jc w:val="right"/>
              <w:rPr>
                <w:color w:val="000000"/>
                <w:sz w:val="24"/>
                <w:szCs w:val="24"/>
                <w:lang w:val="es-MX"/>
              </w:rPr>
            </w:pPr>
            <w:r w:rsidRPr="00161F12">
              <w:rPr>
                <w:color w:val="000000"/>
                <w:sz w:val="24"/>
                <w:szCs w:val="24"/>
                <w:lang w:val="es-MX"/>
              </w:rPr>
              <w:t>10.0</w:t>
            </w:r>
          </w:p>
        </w:tc>
        <w:tc>
          <w:tcPr>
            <w:tcW w:w="1114" w:type="dxa"/>
            <w:tcBorders>
              <w:top w:val="single" w:sz="8" w:space="0" w:color="AEAEAE"/>
              <w:left w:val="single" w:sz="8" w:space="0" w:color="000000"/>
              <w:bottom w:val="single" w:sz="8" w:space="0" w:color="AEAEAE"/>
              <w:right w:val="single" w:sz="8" w:space="0" w:color="000000"/>
            </w:tcBorders>
            <w:shd w:val="clear" w:color="auto" w:fill="FFFFFF"/>
          </w:tcPr>
          <w:p w14:paraId="291E142F" w14:textId="77777777" w:rsidR="00161F12" w:rsidRPr="00161F12" w:rsidRDefault="00161F12" w:rsidP="00161F12">
            <w:pPr>
              <w:autoSpaceDE w:val="0"/>
              <w:autoSpaceDN w:val="0"/>
              <w:adjustRightInd w:val="0"/>
              <w:spacing w:line="480" w:lineRule="auto"/>
              <w:ind w:left="60" w:right="60"/>
              <w:jc w:val="right"/>
              <w:rPr>
                <w:color w:val="000000"/>
                <w:sz w:val="24"/>
                <w:szCs w:val="24"/>
                <w:lang w:val="es-MX"/>
              </w:rPr>
            </w:pPr>
            <w:r w:rsidRPr="00161F12">
              <w:rPr>
                <w:color w:val="000000"/>
                <w:sz w:val="24"/>
                <w:szCs w:val="24"/>
                <w:lang w:val="es-MX"/>
              </w:rPr>
              <w:t>18.0</w:t>
            </w:r>
          </w:p>
        </w:tc>
        <w:tc>
          <w:tcPr>
            <w:tcW w:w="913" w:type="dxa"/>
            <w:tcBorders>
              <w:top w:val="single" w:sz="8" w:space="0" w:color="AEAEAE"/>
              <w:left w:val="single" w:sz="8" w:space="0" w:color="000000"/>
              <w:bottom w:val="single" w:sz="8" w:space="0" w:color="AEAEAE"/>
              <w:right w:val="single" w:sz="8" w:space="0" w:color="000000"/>
            </w:tcBorders>
            <w:shd w:val="clear" w:color="auto" w:fill="FFFFFF"/>
            <w:vAlign w:val="center"/>
          </w:tcPr>
          <w:p w14:paraId="01F91AE8" w14:textId="77777777" w:rsidR="00161F12" w:rsidRPr="00161F12" w:rsidRDefault="00161F12" w:rsidP="00161F12">
            <w:pPr>
              <w:autoSpaceDE w:val="0"/>
              <w:autoSpaceDN w:val="0"/>
              <w:adjustRightInd w:val="0"/>
              <w:spacing w:line="480" w:lineRule="auto"/>
              <w:rPr>
                <w:sz w:val="24"/>
                <w:szCs w:val="24"/>
                <w:lang w:val="es-MX"/>
              </w:rPr>
            </w:pPr>
          </w:p>
        </w:tc>
        <w:tc>
          <w:tcPr>
            <w:tcW w:w="1315" w:type="dxa"/>
            <w:tcBorders>
              <w:top w:val="single" w:sz="8" w:space="0" w:color="AEAEAE"/>
              <w:left w:val="single" w:sz="8" w:space="0" w:color="000000"/>
              <w:bottom w:val="single" w:sz="8" w:space="0" w:color="AEAEAE"/>
              <w:right w:val="single" w:sz="16" w:space="0" w:color="000000"/>
            </w:tcBorders>
            <w:shd w:val="clear" w:color="auto" w:fill="FFFFFF"/>
            <w:vAlign w:val="center"/>
          </w:tcPr>
          <w:p w14:paraId="4C89E2DD" w14:textId="77777777" w:rsidR="00161F12" w:rsidRPr="00161F12" w:rsidRDefault="00161F12" w:rsidP="00161F12">
            <w:pPr>
              <w:autoSpaceDE w:val="0"/>
              <w:autoSpaceDN w:val="0"/>
              <w:adjustRightInd w:val="0"/>
              <w:spacing w:line="480" w:lineRule="auto"/>
              <w:rPr>
                <w:sz w:val="24"/>
                <w:szCs w:val="24"/>
                <w:lang w:val="es-MX"/>
              </w:rPr>
            </w:pPr>
          </w:p>
        </w:tc>
      </w:tr>
      <w:tr w:rsidR="00161F12" w:rsidRPr="00161F12" w14:paraId="08F45187" w14:textId="77777777" w:rsidTr="00161F12">
        <w:trPr>
          <w:cantSplit/>
          <w:trHeight w:val="301"/>
        </w:trPr>
        <w:tc>
          <w:tcPr>
            <w:tcW w:w="4233" w:type="dxa"/>
            <w:gridSpan w:val="2"/>
            <w:tcBorders>
              <w:top w:val="single" w:sz="8" w:space="0" w:color="AEAEAE"/>
              <w:left w:val="single" w:sz="16" w:space="0" w:color="000000"/>
              <w:bottom w:val="single" w:sz="8" w:space="0" w:color="AEAEAE"/>
              <w:right w:val="nil"/>
            </w:tcBorders>
            <w:shd w:val="clear" w:color="auto" w:fill="FFFFFF"/>
          </w:tcPr>
          <w:p w14:paraId="50215941" w14:textId="77777777" w:rsidR="00161F12" w:rsidRPr="00161F12" w:rsidRDefault="00161F12" w:rsidP="00161F12">
            <w:pPr>
              <w:autoSpaceDE w:val="0"/>
              <w:autoSpaceDN w:val="0"/>
              <w:adjustRightInd w:val="0"/>
              <w:spacing w:line="480" w:lineRule="auto"/>
              <w:ind w:left="60" w:right="60"/>
              <w:rPr>
                <w:color w:val="000000"/>
                <w:sz w:val="24"/>
                <w:szCs w:val="24"/>
                <w:lang w:val="es-MX"/>
              </w:rPr>
            </w:pPr>
            <w:r w:rsidRPr="00161F12">
              <w:rPr>
                <w:color w:val="000000"/>
                <w:sz w:val="24"/>
                <w:szCs w:val="24"/>
                <w:lang w:val="es-MX"/>
              </w:rPr>
              <w:t>% Cilindros positivos biopsia Sistematica</w:t>
            </w:r>
          </w:p>
        </w:tc>
        <w:tc>
          <w:tcPr>
            <w:tcW w:w="913" w:type="dxa"/>
            <w:tcBorders>
              <w:top w:val="single" w:sz="8" w:space="0" w:color="AEAEAE"/>
              <w:left w:val="single" w:sz="16" w:space="0" w:color="000000"/>
              <w:bottom w:val="single" w:sz="8" w:space="0" w:color="AEAEAE"/>
              <w:right w:val="single" w:sz="8" w:space="0" w:color="000000"/>
            </w:tcBorders>
            <w:shd w:val="clear" w:color="auto" w:fill="FFFFFF"/>
          </w:tcPr>
          <w:p w14:paraId="2A6A0209" w14:textId="77777777" w:rsidR="00161F12" w:rsidRPr="00161F12" w:rsidRDefault="00161F12" w:rsidP="00161F12">
            <w:pPr>
              <w:autoSpaceDE w:val="0"/>
              <w:autoSpaceDN w:val="0"/>
              <w:adjustRightInd w:val="0"/>
              <w:spacing w:line="480" w:lineRule="auto"/>
              <w:ind w:left="60" w:right="60"/>
              <w:jc w:val="right"/>
              <w:rPr>
                <w:color w:val="000000"/>
                <w:sz w:val="24"/>
                <w:szCs w:val="24"/>
                <w:lang w:val="es-MX"/>
              </w:rPr>
            </w:pPr>
            <w:r w:rsidRPr="00161F12">
              <w:rPr>
                <w:color w:val="000000"/>
                <w:sz w:val="24"/>
                <w:szCs w:val="24"/>
                <w:lang w:val="es-MX"/>
              </w:rPr>
              <w:t>38.4</w:t>
            </w:r>
          </w:p>
        </w:tc>
        <w:tc>
          <w:tcPr>
            <w:tcW w:w="1114" w:type="dxa"/>
            <w:tcBorders>
              <w:top w:val="single" w:sz="8" w:space="0" w:color="AEAEAE"/>
              <w:left w:val="single" w:sz="8" w:space="0" w:color="000000"/>
              <w:bottom w:val="single" w:sz="8" w:space="0" w:color="AEAEAE"/>
              <w:right w:val="single" w:sz="8" w:space="0" w:color="000000"/>
            </w:tcBorders>
            <w:shd w:val="clear" w:color="auto" w:fill="FFFFFF"/>
          </w:tcPr>
          <w:p w14:paraId="3FDCCA91" w14:textId="77777777" w:rsidR="00161F12" w:rsidRPr="00161F12" w:rsidRDefault="00161F12" w:rsidP="00161F12">
            <w:pPr>
              <w:autoSpaceDE w:val="0"/>
              <w:autoSpaceDN w:val="0"/>
              <w:adjustRightInd w:val="0"/>
              <w:spacing w:line="480" w:lineRule="auto"/>
              <w:ind w:left="60" w:right="60"/>
              <w:jc w:val="right"/>
              <w:rPr>
                <w:color w:val="000000"/>
                <w:sz w:val="24"/>
                <w:szCs w:val="24"/>
                <w:lang w:val="es-MX"/>
              </w:rPr>
            </w:pPr>
            <w:r w:rsidRPr="00161F12">
              <w:rPr>
                <w:color w:val="000000"/>
                <w:sz w:val="24"/>
                <w:szCs w:val="24"/>
                <w:lang w:val="es-MX"/>
              </w:rPr>
              <w:t>23.5</w:t>
            </w:r>
          </w:p>
        </w:tc>
        <w:tc>
          <w:tcPr>
            <w:tcW w:w="1114" w:type="dxa"/>
            <w:tcBorders>
              <w:top w:val="single" w:sz="8" w:space="0" w:color="AEAEAE"/>
              <w:left w:val="single" w:sz="8" w:space="0" w:color="000000"/>
              <w:bottom w:val="single" w:sz="8" w:space="0" w:color="AEAEAE"/>
              <w:right w:val="single" w:sz="8" w:space="0" w:color="000000"/>
            </w:tcBorders>
            <w:shd w:val="clear" w:color="auto" w:fill="FFFFFF"/>
          </w:tcPr>
          <w:p w14:paraId="1453F877" w14:textId="77777777" w:rsidR="00161F12" w:rsidRPr="00161F12" w:rsidRDefault="00161F12" w:rsidP="00161F12">
            <w:pPr>
              <w:autoSpaceDE w:val="0"/>
              <w:autoSpaceDN w:val="0"/>
              <w:adjustRightInd w:val="0"/>
              <w:spacing w:line="480" w:lineRule="auto"/>
              <w:ind w:left="60" w:right="60"/>
              <w:jc w:val="right"/>
              <w:rPr>
                <w:color w:val="000000"/>
                <w:sz w:val="24"/>
                <w:szCs w:val="24"/>
                <w:lang w:val="es-MX"/>
              </w:rPr>
            </w:pPr>
            <w:r w:rsidRPr="00161F12">
              <w:rPr>
                <w:color w:val="000000"/>
                <w:sz w:val="24"/>
                <w:szCs w:val="24"/>
                <w:lang w:val="es-MX"/>
              </w:rPr>
              <w:t>57.1</w:t>
            </w:r>
          </w:p>
        </w:tc>
        <w:tc>
          <w:tcPr>
            <w:tcW w:w="913" w:type="dxa"/>
            <w:tcBorders>
              <w:top w:val="single" w:sz="8" w:space="0" w:color="AEAEAE"/>
              <w:left w:val="single" w:sz="8" w:space="0" w:color="000000"/>
              <w:bottom w:val="single" w:sz="8" w:space="0" w:color="AEAEAE"/>
              <w:right w:val="single" w:sz="8" w:space="0" w:color="000000"/>
            </w:tcBorders>
            <w:shd w:val="clear" w:color="auto" w:fill="FFFFFF"/>
            <w:vAlign w:val="center"/>
          </w:tcPr>
          <w:p w14:paraId="746FB442" w14:textId="77777777" w:rsidR="00161F12" w:rsidRPr="00161F12" w:rsidRDefault="00161F12" w:rsidP="00161F12">
            <w:pPr>
              <w:autoSpaceDE w:val="0"/>
              <w:autoSpaceDN w:val="0"/>
              <w:adjustRightInd w:val="0"/>
              <w:spacing w:line="480" w:lineRule="auto"/>
              <w:rPr>
                <w:sz w:val="24"/>
                <w:szCs w:val="24"/>
                <w:lang w:val="es-MX"/>
              </w:rPr>
            </w:pPr>
          </w:p>
        </w:tc>
        <w:tc>
          <w:tcPr>
            <w:tcW w:w="1315" w:type="dxa"/>
            <w:tcBorders>
              <w:top w:val="single" w:sz="8" w:space="0" w:color="AEAEAE"/>
              <w:left w:val="single" w:sz="8" w:space="0" w:color="000000"/>
              <w:bottom w:val="single" w:sz="8" w:space="0" w:color="AEAEAE"/>
              <w:right w:val="single" w:sz="16" w:space="0" w:color="000000"/>
            </w:tcBorders>
            <w:shd w:val="clear" w:color="auto" w:fill="FFFFFF"/>
            <w:vAlign w:val="center"/>
          </w:tcPr>
          <w:p w14:paraId="7C634FAB" w14:textId="77777777" w:rsidR="00161F12" w:rsidRPr="00161F12" w:rsidRDefault="00161F12" w:rsidP="00161F12">
            <w:pPr>
              <w:autoSpaceDE w:val="0"/>
              <w:autoSpaceDN w:val="0"/>
              <w:adjustRightInd w:val="0"/>
              <w:spacing w:line="480" w:lineRule="auto"/>
              <w:rPr>
                <w:sz w:val="24"/>
                <w:szCs w:val="24"/>
                <w:lang w:val="es-MX"/>
              </w:rPr>
            </w:pPr>
          </w:p>
        </w:tc>
      </w:tr>
      <w:tr w:rsidR="00161F12" w:rsidRPr="00161F12" w14:paraId="2B7CBF4A" w14:textId="77777777" w:rsidTr="00161F12">
        <w:trPr>
          <w:cantSplit/>
          <w:trHeight w:val="317"/>
        </w:trPr>
        <w:tc>
          <w:tcPr>
            <w:tcW w:w="2029" w:type="dxa"/>
            <w:vMerge w:val="restart"/>
            <w:tcBorders>
              <w:top w:val="single" w:sz="8" w:space="0" w:color="AEAEAE"/>
              <w:left w:val="single" w:sz="16" w:space="0" w:color="000000"/>
              <w:bottom w:val="single" w:sz="8" w:space="0" w:color="AEAEAE"/>
              <w:right w:val="nil"/>
            </w:tcBorders>
            <w:shd w:val="clear" w:color="auto" w:fill="FFFFFF"/>
          </w:tcPr>
          <w:p w14:paraId="1FE86C01" w14:textId="77777777" w:rsidR="00161F12" w:rsidRPr="00161F12" w:rsidRDefault="00161F12" w:rsidP="00161F12">
            <w:pPr>
              <w:autoSpaceDE w:val="0"/>
              <w:autoSpaceDN w:val="0"/>
              <w:adjustRightInd w:val="0"/>
              <w:spacing w:line="480" w:lineRule="auto"/>
              <w:ind w:left="60" w:right="60"/>
              <w:rPr>
                <w:color w:val="000000"/>
                <w:sz w:val="24"/>
                <w:szCs w:val="24"/>
                <w:lang w:val="es-MX"/>
              </w:rPr>
            </w:pPr>
            <w:r w:rsidRPr="00161F12">
              <w:rPr>
                <w:color w:val="000000"/>
                <w:sz w:val="24"/>
                <w:szCs w:val="24"/>
                <w:lang w:val="es-MX"/>
              </w:rPr>
              <w:t>ISUP Biopsia dirigida</w:t>
            </w:r>
          </w:p>
        </w:tc>
        <w:tc>
          <w:tcPr>
            <w:tcW w:w="2203" w:type="dxa"/>
            <w:tcBorders>
              <w:top w:val="single" w:sz="8" w:space="0" w:color="AEAEAE"/>
              <w:left w:val="nil"/>
              <w:bottom w:val="single" w:sz="8" w:space="0" w:color="AEAEAE"/>
              <w:right w:val="single" w:sz="16" w:space="0" w:color="000000"/>
            </w:tcBorders>
            <w:shd w:val="clear" w:color="auto" w:fill="FFFFFF"/>
          </w:tcPr>
          <w:p w14:paraId="3284328A" w14:textId="77777777" w:rsidR="00161F12" w:rsidRPr="00161F12" w:rsidRDefault="00161F12" w:rsidP="00161F12">
            <w:pPr>
              <w:autoSpaceDE w:val="0"/>
              <w:autoSpaceDN w:val="0"/>
              <w:adjustRightInd w:val="0"/>
              <w:spacing w:line="480" w:lineRule="auto"/>
              <w:ind w:left="60" w:right="60"/>
              <w:rPr>
                <w:color w:val="000000"/>
                <w:sz w:val="24"/>
                <w:szCs w:val="24"/>
                <w:lang w:val="es-MX"/>
              </w:rPr>
            </w:pPr>
            <w:r w:rsidRPr="00161F12">
              <w:rPr>
                <w:color w:val="000000"/>
                <w:sz w:val="24"/>
                <w:szCs w:val="24"/>
                <w:lang w:val="es-MX"/>
              </w:rPr>
              <w:t>Sin biopsia dirigida</w:t>
            </w:r>
          </w:p>
        </w:tc>
        <w:tc>
          <w:tcPr>
            <w:tcW w:w="913" w:type="dxa"/>
            <w:tcBorders>
              <w:top w:val="single" w:sz="8" w:space="0" w:color="AEAEAE"/>
              <w:left w:val="single" w:sz="16" w:space="0" w:color="000000"/>
              <w:bottom w:val="single" w:sz="8" w:space="0" w:color="AEAEAE"/>
              <w:right w:val="single" w:sz="8" w:space="0" w:color="000000"/>
            </w:tcBorders>
            <w:shd w:val="clear" w:color="auto" w:fill="FFFFFF"/>
            <w:vAlign w:val="center"/>
          </w:tcPr>
          <w:p w14:paraId="14939940" w14:textId="77777777" w:rsidR="00161F12" w:rsidRPr="00161F12" w:rsidRDefault="00161F12" w:rsidP="00161F12">
            <w:pPr>
              <w:autoSpaceDE w:val="0"/>
              <w:autoSpaceDN w:val="0"/>
              <w:adjustRightInd w:val="0"/>
              <w:spacing w:line="480" w:lineRule="auto"/>
              <w:rPr>
                <w:sz w:val="24"/>
                <w:szCs w:val="24"/>
                <w:lang w:val="es-MX"/>
              </w:rPr>
            </w:pPr>
          </w:p>
        </w:tc>
        <w:tc>
          <w:tcPr>
            <w:tcW w:w="1114" w:type="dxa"/>
            <w:tcBorders>
              <w:top w:val="single" w:sz="8" w:space="0" w:color="AEAEAE"/>
              <w:left w:val="single" w:sz="8" w:space="0" w:color="000000"/>
              <w:bottom w:val="single" w:sz="8" w:space="0" w:color="AEAEAE"/>
              <w:right w:val="single" w:sz="8" w:space="0" w:color="000000"/>
            </w:tcBorders>
            <w:shd w:val="clear" w:color="auto" w:fill="FFFFFF"/>
            <w:vAlign w:val="center"/>
          </w:tcPr>
          <w:p w14:paraId="7D6AD9CE" w14:textId="77777777" w:rsidR="00161F12" w:rsidRPr="00161F12" w:rsidRDefault="00161F12" w:rsidP="00161F12">
            <w:pPr>
              <w:autoSpaceDE w:val="0"/>
              <w:autoSpaceDN w:val="0"/>
              <w:adjustRightInd w:val="0"/>
              <w:spacing w:line="480" w:lineRule="auto"/>
              <w:rPr>
                <w:sz w:val="24"/>
                <w:szCs w:val="24"/>
                <w:lang w:val="es-MX"/>
              </w:rPr>
            </w:pPr>
          </w:p>
        </w:tc>
        <w:tc>
          <w:tcPr>
            <w:tcW w:w="1114" w:type="dxa"/>
            <w:tcBorders>
              <w:top w:val="single" w:sz="8" w:space="0" w:color="AEAEAE"/>
              <w:left w:val="single" w:sz="8" w:space="0" w:color="000000"/>
              <w:bottom w:val="single" w:sz="8" w:space="0" w:color="AEAEAE"/>
              <w:right w:val="single" w:sz="8" w:space="0" w:color="000000"/>
            </w:tcBorders>
            <w:shd w:val="clear" w:color="auto" w:fill="FFFFFF"/>
            <w:vAlign w:val="center"/>
          </w:tcPr>
          <w:p w14:paraId="07329E76" w14:textId="77777777" w:rsidR="00161F12" w:rsidRPr="00161F12" w:rsidRDefault="00161F12" w:rsidP="00161F12">
            <w:pPr>
              <w:autoSpaceDE w:val="0"/>
              <w:autoSpaceDN w:val="0"/>
              <w:adjustRightInd w:val="0"/>
              <w:spacing w:line="480" w:lineRule="auto"/>
              <w:rPr>
                <w:sz w:val="24"/>
                <w:szCs w:val="24"/>
                <w:lang w:val="es-MX"/>
              </w:rPr>
            </w:pPr>
          </w:p>
        </w:tc>
        <w:tc>
          <w:tcPr>
            <w:tcW w:w="913" w:type="dxa"/>
            <w:tcBorders>
              <w:top w:val="single" w:sz="8" w:space="0" w:color="AEAEAE"/>
              <w:left w:val="single" w:sz="8" w:space="0" w:color="000000"/>
              <w:bottom w:val="single" w:sz="8" w:space="0" w:color="AEAEAE"/>
              <w:right w:val="single" w:sz="8" w:space="0" w:color="000000"/>
            </w:tcBorders>
            <w:shd w:val="clear" w:color="auto" w:fill="FFFFFF"/>
          </w:tcPr>
          <w:p w14:paraId="3BF5DAA0" w14:textId="77777777" w:rsidR="00161F12" w:rsidRPr="00161F12" w:rsidRDefault="00161F12" w:rsidP="00161F12">
            <w:pPr>
              <w:autoSpaceDE w:val="0"/>
              <w:autoSpaceDN w:val="0"/>
              <w:adjustRightInd w:val="0"/>
              <w:spacing w:line="480" w:lineRule="auto"/>
              <w:ind w:left="60" w:right="60"/>
              <w:jc w:val="right"/>
              <w:rPr>
                <w:color w:val="000000"/>
                <w:sz w:val="24"/>
                <w:szCs w:val="24"/>
                <w:lang w:val="es-MX"/>
              </w:rPr>
            </w:pPr>
            <w:r w:rsidRPr="00161F12">
              <w:rPr>
                <w:color w:val="000000"/>
                <w:sz w:val="24"/>
                <w:szCs w:val="24"/>
                <w:lang w:val="es-MX"/>
              </w:rPr>
              <w:t>3</w:t>
            </w:r>
          </w:p>
        </w:tc>
        <w:tc>
          <w:tcPr>
            <w:tcW w:w="1315" w:type="dxa"/>
            <w:tcBorders>
              <w:top w:val="single" w:sz="8" w:space="0" w:color="AEAEAE"/>
              <w:left w:val="single" w:sz="8" w:space="0" w:color="000000"/>
              <w:bottom w:val="single" w:sz="8" w:space="0" w:color="AEAEAE"/>
              <w:right w:val="single" w:sz="16" w:space="0" w:color="000000"/>
            </w:tcBorders>
            <w:shd w:val="clear" w:color="auto" w:fill="FFFFFF"/>
          </w:tcPr>
          <w:p w14:paraId="61D10A15" w14:textId="77777777" w:rsidR="00161F12" w:rsidRPr="00161F12" w:rsidRDefault="00161F12" w:rsidP="00161F12">
            <w:pPr>
              <w:autoSpaceDE w:val="0"/>
              <w:autoSpaceDN w:val="0"/>
              <w:adjustRightInd w:val="0"/>
              <w:spacing w:line="480" w:lineRule="auto"/>
              <w:ind w:left="60" w:right="60"/>
              <w:jc w:val="right"/>
              <w:rPr>
                <w:color w:val="000000"/>
                <w:sz w:val="24"/>
                <w:szCs w:val="24"/>
                <w:lang w:val="es-MX"/>
              </w:rPr>
            </w:pPr>
            <w:r w:rsidRPr="00161F12">
              <w:rPr>
                <w:color w:val="000000"/>
                <w:sz w:val="24"/>
                <w:szCs w:val="24"/>
                <w:lang w:val="es-MX"/>
              </w:rPr>
              <w:t>1.5%</w:t>
            </w:r>
          </w:p>
        </w:tc>
      </w:tr>
      <w:tr w:rsidR="00161F12" w:rsidRPr="00161F12" w14:paraId="43351756" w14:textId="77777777" w:rsidTr="00161F12">
        <w:trPr>
          <w:cantSplit/>
          <w:trHeight w:val="136"/>
        </w:trPr>
        <w:tc>
          <w:tcPr>
            <w:tcW w:w="2029" w:type="dxa"/>
            <w:vMerge/>
            <w:tcBorders>
              <w:top w:val="single" w:sz="8" w:space="0" w:color="AEAEAE"/>
              <w:left w:val="single" w:sz="16" w:space="0" w:color="000000"/>
              <w:bottom w:val="single" w:sz="8" w:space="0" w:color="AEAEAE"/>
              <w:right w:val="nil"/>
            </w:tcBorders>
            <w:shd w:val="clear" w:color="auto" w:fill="FFFFFF"/>
          </w:tcPr>
          <w:p w14:paraId="6BC356CB" w14:textId="77777777" w:rsidR="00161F12" w:rsidRPr="00161F12" w:rsidRDefault="00161F12" w:rsidP="00161F12">
            <w:pPr>
              <w:autoSpaceDE w:val="0"/>
              <w:autoSpaceDN w:val="0"/>
              <w:adjustRightInd w:val="0"/>
              <w:spacing w:line="480" w:lineRule="auto"/>
              <w:rPr>
                <w:color w:val="000000"/>
                <w:sz w:val="24"/>
                <w:szCs w:val="24"/>
                <w:lang w:val="es-MX"/>
              </w:rPr>
            </w:pPr>
          </w:p>
        </w:tc>
        <w:tc>
          <w:tcPr>
            <w:tcW w:w="2203" w:type="dxa"/>
            <w:tcBorders>
              <w:top w:val="single" w:sz="8" w:space="0" w:color="AEAEAE"/>
              <w:left w:val="nil"/>
              <w:bottom w:val="single" w:sz="8" w:space="0" w:color="AEAEAE"/>
              <w:right w:val="single" w:sz="16" w:space="0" w:color="000000"/>
            </w:tcBorders>
            <w:shd w:val="clear" w:color="auto" w:fill="FFFFFF"/>
          </w:tcPr>
          <w:p w14:paraId="3FE58C94" w14:textId="77777777" w:rsidR="00161F12" w:rsidRPr="00161F12" w:rsidRDefault="00161F12" w:rsidP="00161F12">
            <w:pPr>
              <w:autoSpaceDE w:val="0"/>
              <w:autoSpaceDN w:val="0"/>
              <w:adjustRightInd w:val="0"/>
              <w:spacing w:line="480" w:lineRule="auto"/>
              <w:ind w:left="60" w:right="60"/>
              <w:rPr>
                <w:color w:val="000000"/>
                <w:sz w:val="24"/>
                <w:szCs w:val="24"/>
                <w:lang w:val="es-MX"/>
              </w:rPr>
            </w:pPr>
            <w:r w:rsidRPr="00161F12">
              <w:rPr>
                <w:color w:val="000000"/>
                <w:sz w:val="24"/>
                <w:szCs w:val="24"/>
                <w:lang w:val="es-MX"/>
              </w:rPr>
              <w:t>ISUP 1 - GS 6 (3+3)</w:t>
            </w:r>
          </w:p>
        </w:tc>
        <w:tc>
          <w:tcPr>
            <w:tcW w:w="913" w:type="dxa"/>
            <w:tcBorders>
              <w:top w:val="single" w:sz="8" w:space="0" w:color="AEAEAE"/>
              <w:left w:val="single" w:sz="16" w:space="0" w:color="000000"/>
              <w:bottom w:val="single" w:sz="8" w:space="0" w:color="AEAEAE"/>
              <w:right w:val="single" w:sz="8" w:space="0" w:color="000000"/>
            </w:tcBorders>
            <w:shd w:val="clear" w:color="auto" w:fill="FFFFFF"/>
            <w:vAlign w:val="center"/>
          </w:tcPr>
          <w:p w14:paraId="644ED3B8" w14:textId="77777777" w:rsidR="00161F12" w:rsidRPr="00161F12" w:rsidRDefault="00161F12" w:rsidP="00161F12">
            <w:pPr>
              <w:autoSpaceDE w:val="0"/>
              <w:autoSpaceDN w:val="0"/>
              <w:adjustRightInd w:val="0"/>
              <w:spacing w:line="480" w:lineRule="auto"/>
              <w:rPr>
                <w:sz w:val="24"/>
                <w:szCs w:val="24"/>
                <w:lang w:val="es-MX"/>
              </w:rPr>
            </w:pPr>
          </w:p>
        </w:tc>
        <w:tc>
          <w:tcPr>
            <w:tcW w:w="1114" w:type="dxa"/>
            <w:tcBorders>
              <w:top w:val="single" w:sz="8" w:space="0" w:color="AEAEAE"/>
              <w:left w:val="single" w:sz="8" w:space="0" w:color="000000"/>
              <w:bottom w:val="single" w:sz="8" w:space="0" w:color="AEAEAE"/>
              <w:right w:val="single" w:sz="8" w:space="0" w:color="000000"/>
            </w:tcBorders>
            <w:shd w:val="clear" w:color="auto" w:fill="FFFFFF"/>
            <w:vAlign w:val="center"/>
          </w:tcPr>
          <w:p w14:paraId="3F1D1E66" w14:textId="77777777" w:rsidR="00161F12" w:rsidRPr="00161F12" w:rsidRDefault="00161F12" w:rsidP="00161F12">
            <w:pPr>
              <w:autoSpaceDE w:val="0"/>
              <w:autoSpaceDN w:val="0"/>
              <w:adjustRightInd w:val="0"/>
              <w:spacing w:line="480" w:lineRule="auto"/>
              <w:rPr>
                <w:sz w:val="24"/>
                <w:szCs w:val="24"/>
                <w:lang w:val="es-MX"/>
              </w:rPr>
            </w:pPr>
          </w:p>
        </w:tc>
        <w:tc>
          <w:tcPr>
            <w:tcW w:w="1114" w:type="dxa"/>
            <w:tcBorders>
              <w:top w:val="single" w:sz="8" w:space="0" w:color="AEAEAE"/>
              <w:left w:val="single" w:sz="8" w:space="0" w:color="000000"/>
              <w:bottom w:val="single" w:sz="8" w:space="0" w:color="AEAEAE"/>
              <w:right w:val="single" w:sz="8" w:space="0" w:color="000000"/>
            </w:tcBorders>
            <w:shd w:val="clear" w:color="auto" w:fill="FFFFFF"/>
            <w:vAlign w:val="center"/>
          </w:tcPr>
          <w:p w14:paraId="5B23FFC0" w14:textId="77777777" w:rsidR="00161F12" w:rsidRPr="00161F12" w:rsidRDefault="00161F12" w:rsidP="00161F12">
            <w:pPr>
              <w:autoSpaceDE w:val="0"/>
              <w:autoSpaceDN w:val="0"/>
              <w:adjustRightInd w:val="0"/>
              <w:spacing w:line="480" w:lineRule="auto"/>
              <w:rPr>
                <w:sz w:val="24"/>
                <w:szCs w:val="24"/>
                <w:lang w:val="es-MX"/>
              </w:rPr>
            </w:pPr>
          </w:p>
        </w:tc>
        <w:tc>
          <w:tcPr>
            <w:tcW w:w="913" w:type="dxa"/>
            <w:tcBorders>
              <w:top w:val="single" w:sz="8" w:space="0" w:color="AEAEAE"/>
              <w:left w:val="single" w:sz="8" w:space="0" w:color="000000"/>
              <w:bottom w:val="single" w:sz="8" w:space="0" w:color="AEAEAE"/>
              <w:right w:val="single" w:sz="8" w:space="0" w:color="000000"/>
            </w:tcBorders>
            <w:shd w:val="clear" w:color="auto" w:fill="FFFFFF"/>
          </w:tcPr>
          <w:p w14:paraId="0F175AA5" w14:textId="77777777" w:rsidR="00161F12" w:rsidRPr="00161F12" w:rsidRDefault="00161F12" w:rsidP="00161F12">
            <w:pPr>
              <w:autoSpaceDE w:val="0"/>
              <w:autoSpaceDN w:val="0"/>
              <w:adjustRightInd w:val="0"/>
              <w:spacing w:line="480" w:lineRule="auto"/>
              <w:ind w:left="60" w:right="60"/>
              <w:jc w:val="right"/>
              <w:rPr>
                <w:color w:val="000000"/>
                <w:sz w:val="24"/>
                <w:szCs w:val="24"/>
                <w:lang w:val="es-MX"/>
              </w:rPr>
            </w:pPr>
            <w:r w:rsidRPr="00161F12">
              <w:rPr>
                <w:color w:val="000000"/>
                <w:sz w:val="24"/>
                <w:szCs w:val="24"/>
                <w:lang w:val="es-MX"/>
              </w:rPr>
              <w:t>3</w:t>
            </w:r>
          </w:p>
        </w:tc>
        <w:tc>
          <w:tcPr>
            <w:tcW w:w="1315" w:type="dxa"/>
            <w:tcBorders>
              <w:top w:val="single" w:sz="8" w:space="0" w:color="AEAEAE"/>
              <w:left w:val="single" w:sz="8" w:space="0" w:color="000000"/>
              <w:bottom w:val="single" w:sz="8" w:space="0" w:color="AEAEAE"/>
              <w:right w:val="single" w:sz="16" w:space="0" w:color="000000"/>
            </w:tcBorders>
            <w:shd w:val="clear" w:color="auto" w:fill="FFFFFF"/>
          </w:tcPr>
          <w:p w14:paraId="0DFD2304" w14:textId="77777777" w:rsidR="00161F12" w:rsidRPr="00161F12" w:rsidRDefault="00161F12" w:rsidP="00161F12">
            <w:pPr>
              <w:autoSpaceDE w:val="0"/>
              <w:autoSpaceDN w:val="0"/>
              <w:adjustRightInd w:val="0"/>
              <w:spacing w:line="480" w:lineRule="auto"/>
              <w:ind w:left="60" w:right="60"/>
              <w:jc w:val="right"/>
              <w:rPr>
                <w:color w:val="000000"/>
                <w:sz w:val="24"/>
                <w:szCs w:val="24"/>
                <w:lang w:val="es-MX"/>
              </w:rPr>
            </w:pPr>
            <w:r w:rsidRPr="00161F12">
              <w:rPr>
                <w:color w:val="000000"/>
                <w:sz w:val="24"/>
                <w:szCs w:val="24"/>
                <w:lang w:val="es-MX"/>
              </w:rPr>
              <w:t>1.5%</w:t>
            </w:r>
          </w:p>
        </w:tc>
      </w:tr>
      <w:tr w:rsidR="00161F12" w:rsidRPr="00161F12" w14:paraId="436D8ABE" w14:textId="77777777" w:rsidTr="00161F12">
        <w:trPr>
          <w:cantSplit/>
          <w:trHeight w:val="136"/>
        </w:trPr>
        <w:tc>
          <w:tcPr>
            <w:tcW w:w="2029" w:type="dxa"/>
            <w:vMerge/>
            <w:tcBorders>
              <w:top w:val="single" w:sz="8" w:space="0" w:color="AEAEAE"/>
              <w:left w:val="single" w:sz="16" w:space="0" w:color="000000"/>
              <w:bottom w:val="single" w:sz="8" w:space="0" w:color="AEAEAE"/>
              <w:right w:val="nil"/>
            </w:tcBorders>
            <w:shd w:val="clear" w:color="auto" w:fill="FFFFFF"/>
          </w:tcPr>
          <w:p w14:paraId="66CD11A3" w14:textId="77777777" w:rsidR="00161F12" w:rsidRPr="00161F12" w:rsidRDefault="00161F12" w:rsidP="00161F12">
            <w:pPr>
              <w:autoSpaceDE w:val="0"/>
              <w:autoSpaceDN w:val="0"/>
              <w:adjustRightInd w:val="0"/>
              <w:spacing w:line="480" w:lineRule="auto"/>
              <w:rPr>
                <w:color w:val="000000"/>
                <w:sz w:val="24"/>
                <w:szCs w:val="24"/>
                <w:lang w:val="es-MX"/>
              </w:rPr>
            </w:pPr>
          </w:p>
        </w:tc>
        <w:tc>
          <w:tcPr>
            <w:tcW w:w="2203" w:type="dxa"/>
            <w:tcBorders>
              <w:top w:val="single" w:sz="8" w:space="0" w:color="AEAEAE"/>
              <w:left w:val="nil"/>
              <w:bottom w:val="single" w:sz="8" w:space="0" w:color="AEAEAE"/>
              <w:right w:val="single" w:sz="16" w:space="0" w:color="000000"/>
            </w:tcBorders>
            <w:shd w:val="clear" w:color="auto" w:fill="FFFFFF"/>
          </w:tcPr>
          <w:p w14:paraId="642A7A6C" w14:textId="77777777" w:rsidR="00161F12" w:rsidRPr="00161F12" w:rsidRDefault="00161F12" w:rsidP="00161F12">
            <w:pPr>
              <w:autoSpaceDE w:val="0"/>
              <w:autoSpaceDN w:val="0"/>
              <w:adjustRightInd w:val="0"/>
              <w:spacing w:line="480" w:lineRule="auto"/>
              <w:ind w:left="60" w:right="60"/>
              <w:rPr>
                <w:color w:val="000000"/>
                <w:sz w:val="24"/>
                <w:szCs w:val="24"/>
                <w:lang w:val="es-MX"/>
              </w:rPr>
            </w:pPr>
            <w:r w:rsidRPr="00161F12">
              <w:rPr>
                <w:color w:val="000000"/>
                <w:sz w:val="24"/>
                <w:szCs w:val="24"/>
                <w:lang w:val="es-MX"/>
              </w:rPr>
              <w:t>ISUP 2 - GS 7 (3+4)</w:t>
            </w:r>
          </w:p>
        </w:tc>
        <w:tc>
          <w:tcPr>
            <w:tcW w:w="913" w:type="dxa"/>
            <w:tcBorders>
              <w:top w:val="single" w:sz="8" w:space="0" w:color="AEAEAE"/>
              <w:left w:val="single" w:sz="16" w:space="0" w:color="000000"/>
              <w:bottom w:val="single" w:sz="8" w:space="0" w:color="AEAEAE"/>
              <w:right w:val="single" w:sz="8" w:space="0" w:color="000000"/>
            </w:tcBorders>
            <w:shd w:val="clear" w:color="auto" w:fill="FFFFFF"/>
            <w:vAlign w:val="center"/>
          </w:tcPr>
          <w:p w14:paraId="4CA763C4" w14:textId="77777777" w:rsidR="00161F12" w:rsidRPr="00161F12" w:rsidRDefault="00161F12" w:rsidP="00161F12">
            <w:pPr>
              <w:autoSpaceDE w:val="0"/>
              <w:autoSpaceDN w:val="0"/>
              <w:adjustRightInd w:val="0"/>
              <w:spacing w:line="480" w:lineRule="auto"/>
              <w:rPr>
                <w:sz w:val="24"/>
                <w:szCs w:val="24"/>
                <w:lang w:val="es-MX"/>
              </w:rPr>
            </w:pPr>
          </w:p>
        </w:tc>
        <w:tc>
          <w:tcPr>
            <w:tcW w:w="1114" w:type="dxa"/>
            <w:tcBorders>
              <w:top w:val="single" w:sz="8" w:space="0" w:color="AEAEAE"/>
              <w:left w:val="single" w:sz="8" w:space="0" w:color="000000"/>
              <w:bottom w:val="single" w:sz="8" w:space="0" w:color="AEAEAE"/>
              <w:right w:val="single" w:sz="8" w:space="0" w:color="000000"/>
            </w:tcBorders>
            <w:shd w:val="clear" w:color="auto" w:fill="FFFFFF"/>
            <w:vAlign w:val="center"/>
          </w:tcPr>
          <w:p w14:paraId="4CAB2A92" w14:textId="77777777" w:rsidR="00161F12" w:rsidRPr="00161F12" w:rsidRDefault="00161F12" w:rsidP="00161F12">
            <w:pPr>
              <w:autoSpaceDE w:val="0"/>
              <w:autoSpaceDN w:val="0"/>
              <w:adjustRightInd w:val="0"/>
              <w:spacing w:line="480" w:lineRule="auto"/>
              <w:rPr>
                <w:sz w:val="24"/>
                <w:szCs w:val="24"/>
                <w:lang w:val="es-MX"/>
              </w:rPr>
            </w:pPr>
          </w:p>
        </w:tc>
        <w:tc>
          <w:tcPr>
            <w:tcW w:w="1114" w:type="dxa"/>
            <w:tcBorders>
              <w:top w:val="single" w:sz="8" w:space="0" w:color="AEAEAE"/>
              <w:left w:val="single" w:sz="8" w:space="0" w:color="000000"/>
              <w:bottom w:val="single" w:sz="8" w:space="0" w:color="AEAEAE"/>
              <w:right w:val="single" w:sz="8" w:space="0" w:color="000000"/>
            </w:tcBorders>
            <w:shd w:val="clear" w:color="auto" w:fill="FFFFFF"/>
            <w:vAlign w:val="center"/>
          </w:tcPr>
          <w:p w14:paraId="5D8D111B" w14:textId="77777777" w:rsidR="00161F12" w:rsidRPr="00161F12" w:rsidRDefault="00161F12" w:rsidP="00161F12">
            <w:pPr>
              <w:autoSpaceDE w:val="0"/>
              <w:autoSpaceDN w:val="0"/>
              <w:adjustRightInd w:val="0"/>
              <w:spacing w:line="480" w:lineRule="auto"/>
              <w:rPr>
                <w:sz w:val="24"/>
                <w:szCs w:val="24"/>
                <w:lang w:val="es-MX"/>
              </w:rPr>
            </w:pPr>
          </w:p>
        </w:tc>
        <w:tc>
          <w:tcPr>
            <w:tcW w:w="913" w:type="dxa"/>
            <w:tcBorders>
              <w:top w:val="single" w:sz="8" w:space="0" w:color="AEAEAE"/>
              <w:left w:val="single" w:sz="8" w:space="0" w:color="000000"/>
              <w:bottom w:val="single" w:sz="8" w:space="0" w:color="AEAEAE"/>
              <w:right w:val="single" w:sz="8" w:space="0" w:color="000000"/>
            </w:tcBorders>
            <w:shd w:val="clear" w:color="auto" w:fill="FFFFFF"/>
          </w:tcPr>
          <w:p w14:paraId="07D6327F" w14:textId="77777777" w:rsidR="00161F12" w:rsidRPr="00161F12" w:rsidRDefault="00161F12" w:rsidP="00161F12">
            <w:pPr>
              <w:autoSpaceDE w:val="0"/>
              <w:autoSpaceDN w:val="0"/>
              <w:adjustRightInd w:val="0"/>
              <w:spacing w:line="480" w:lineRule="auto"/>
              <w:ind w:left="60" w:right="60"/>
              <w:jc w:val="right"/>
              <w:rPr>
                <w:color w:val="000000"/>
                <w:sz w:val="24"/>
                <w:szCs w:val="24"/>
                <w:lang w:val="es-MX"/>
              </w:rPr>
            </w:pPr>
            <w:r w:rsidRPr="00161F12">
              <w:rPr>
                <w:color w:val="000000"/>
                <w:sz w:val="24"/>
                <w:szCs w:val="24"/>
                <w:lang w:val="es-MX"/>
              </w:rPr>
              <w:t>28</w:t>
            </w:r>
          </w:p>
        </w:tc>
        <w:tc>
          <w:tcPr>
            <w:tcW w:w="1315" w:type="dxa"/>
            <w:tcBorders>
              <w:top w:val="single" w:sz="8" w:space="0" w:color="AEAEAE"/>
              <w:left w:val="single" w:sz="8" w:space="0" w:color="000000"/>
              <w:bottom w:val="single" w:sz="8" w:space="0" w:color="AEAEAE"/>
              <w:right w:val="single" w:sz="16" w:space="0" w:color="000000"/>
            </w:tcBorders>
            <w:shd w:val="clear" w:color="auto" w:fill="FFFFFF"/>
          </w:tcPr>
          <w:p w14:paraId="3F5BE503" w14:textId="77777777" w:rsidR="00161F12" w:rsidRPr="00161F12" w:rsidRDefault="00161F12" w:rsidP="00161F12">
            <w:pPr>
              <w:autoSpaceDE w:val="0"/>
              <w:autoSpaceDN w:val="0"/>
              <w:adjustRightInd w:val="0"/>
              <w:spacing w:line="480" w:lineRule="auto"/>
              <w:ind w:left="60" w:right="60"/>
              <w:jc w:val="right"/>
              <w:rPr>
                <w:color w:val="000000"/>
                <w:sz w:val="24"/>
                <w:szCs w:val="24"/>
                <w:lang w:val="es-MX"/>
              </w:rPr>
            </w:pPr>
            <w:r w:rsidRPr="00161F12">
              <w:rPr>
                <w:color w:val="000000"/>
                <w:sz w:val="24"/>
                <w:szCs w:val="24"/>
                <w:lang w:val="es-MX"/>
              </w:rPr>
              <w:t>14.4%</w:t>
            </w:r>
          </w:p>
        </w:tc>
      </w:tr>
      <w:tr w:rsidR="00161F12" w:rsidRPr="00161F12" w14:paraId="17F34689" w14:textId="77777777" w:rsidTr="00161F12">
        <w:trPr>
          <w:cantSplit/>
          <w:trHeight w:val="136"/>
        </w:trPr>
        <w:tc>
          <w:tcPr>
            <w:tcW w:w="2029" w:type="dxa"/>
            <w:vMerge/>
            <w:tcBorders>
              <w:top w:val="single" w:sz="8" w:space="0" w:color="AEAEAE"/>
              <w:left w:val="single" w:sz="16" w:space="0" w:color="000000"/>
              <w:bottom w:val="single" w:sz="8" w:space="0" w:color="AEAEAE"/>
              <w:right w:val="nil"/>
            </w:tcBorders>
            <w:shd w:val="clear" w:color="auto" w:fill="FFFFFF"/>
          </w:tcPr>
          <w:p w14:paraId="5C706F04" w14:textId="77777777" w:rsidR="00161F12" w:rsidRPr="00161F12" w:rsidRDefault="00161F12" w:rsidP="00161F12">
            <w:pPr>
              <w:autoSpaceDE w:val="0"/>
              <w:autoSpaceDN w:val="0"/>
              <w:adjustRightInd w:val="0"/>
              <w:spacing w:line="480" w:lineRule="auto"/>
              <w:rPr>
                <w:color w:val="000000"/>
                <w:sz w:val="24"/>
                <w:szCs w:val="24"/>
                <w:lang w:val="es-MX"/>
              </w:rPr>
            </w:pPr>
          </w:p>
        </w:tc>
        <w:tc>
          <w:tcPr>
            <w:tcW w:w="2203" w:type="dxa"/>
            <w:tcBorders>
              <w:top w:val="single" w:sz="8" w:space="0" w:color="AEAEAE"/>
              <w:left w:val="nil"/>
              <w:bottom w:val="single" w:sz="8" w:space="0" w:color="AEAEAE"/>
              <w:right w:val="single" w:sz="16" w:space="0" w:color="000000"/>
            </w:tcBorders>
            <w:shd w:val="clear" w:color="auto" w:fill="FFFFFF"/>
          </w:tcPr>
          <w:p w14:paraId="605FDE0B" w14:textId="77777777" w:rsidR="00161F12" w:rsidRPr="00161F12" w:rsidRDefault="00161F12" w:rsidP="00161F12">
            <w:pPr>
              <w:autoSpaceDE w:val="0"/>
              <w:autoSpaceDN w:val="0"/>
              <w:adjustRightInd w:val="0"/>
              <w:spacing w:line="480" w:lineRule="auto"/>
              <w:ind w:left="60" w:right="60"/>
              <w:rPr>
                <w:color w:val="000000"/>
                <w:sz w:val="24"/>
                <w:szCs w:val="24"/>
                <w:lang w:val="es-MX"/>
              </w:rPr>
            </w:pPr>
            <w:r w:rsidRPr="00161F12">
              <w:rPr>
                <w:color w:val="000000"/>
                <w:sz w:val="24"/>
                <w:szCs w:val="24"/>
                <w:lang w:val="es-MX"/>
              </w:rPr>
              <w:t>ISUP 3 - GS 7 (4+3)</w:t>
            </w:r>
          </w:p>
        </w:tc>
        <w:tc>
          <w:tcPr>
            <w:tcW w:w="913" w:type="dxa"/>
            <w:tcBorders>
              <w:top w:val="single" w:sz="8" w:space="0" w:color="AEAEAE"/>
              <w:left w:val="single" w:sz="16" w:space="0" w:color="000000"/>
              <w:bottom w:val="single" w:sz="8" w:space="0" w:color="AEAEAE"/>
              <w:right w:val="single" w:sz="8" w:space="0" w:color="000000"/>
            </w:tcBorders>
            <w:shd w:val="clear" w:color="auto" w:fill="FFFFFF"/>
            <w:vAlign w:val="center"/>
          </w:tcPr>
          <w:p w14:paraId="58D633EC" w14:textId="77777777" w:rsidR="00161F12" w:rsidRPr="00161F12" w:rsidRDefault="00161F12" w:rsidP="00161F12">
            <w:pPr>
              <w:autoSpaceDE w:val="0"/>
              <w:autoSpaceDN w:val="0"/>
              <w:adjustRightInd w:val="0"/>
              <w:spacing w:line="480" w:lineRule="auto"/>
              <w:rPr>
                <w:sz w:val="24"/>
                <w:szCs w:val="24"/>
                <w:lang w:val="es-MX"/>
              </w:rPr>
            </w:pPr>
          </w:p>
        </w:tc>
        <w:tc>
          <w:tcPr>
            <w:tcW w:w="1114" w:type="dxa"/>
            <w:tcBorders>
              <w:top w:val="single" w:sz="8" w:space="0" w:color="AEAEAE"/>
              <w:left w:val="single" w:sz="8" w:space="0" w:color="000000"/>
              <w:bottom w:val="single" w:sz="8" w:space="0" w:color="AEAEAE"/>
              <w:right w:val="single" w:sz="8" w:space="0" w:color="000000"/>
            </w:tcBorders>
            <w:shd w:val="clear" w:color="auto" w:fill="FFFFFF"/>
            <w:vAlign w:val="center"/>
          </w:tcPr>
          <w:p w14:paraId="2C92BC1A" w14:textId="77777777" w:rsidR="00161F12" w:rsidRPr="00161F12" w:rsidRDefault="00161F12" w:rsidP="00161F12">
            <w:pPr>
              <w:autoSpaceDE w:val="0"/>
              <w:autoSpaceDN w:val="0"/>
              <w:adjustRightInd w:val="0"/>
              <w:spacing w:line="480" w:lineRule="auto"/>
              <w:rPr>
                <w:sz w:val="24"/>
                <w:szCs w:val="24"/>
                <w:lang w:val="es-MX"/>
              </w:rPr>
            </w:pPr>
          </w:p>
        </w:tc>
        <w:tc>
          <w:tcPr>
            <w:tcW w:w="1114" w:type="dxa"/>
            <w:tcBorders>
              <w:top w:val="single" w:sz="8" w:space="0" w:color="AEAEAE"/>
              <w:left w:val="single" w:sz="8" w:space="0" w:color="000000"/>
              <w:bottom w:val="single" w:sz="8" w:space="0" w:color="AEAEAE"/>
              <w:right w:val="single" w:sz="8" w:space="0" w:color="000000"/>
            </w:tcBorders>
            <w:shd w:val="clear" w:color="auto" w:fill="FFFFFF"/>
            <w:vAlign w:val="center"/>
          </w:tcPr>
          <w:p w14:paraId="14470358" w14:textId="77777777" w:rsidR="00161F12" w:rsidRPr="00161F12" w:rsidRDefault="00161F12" w:rsidP="00161F12">
            <w:pPr>
              <w:autoSpaceDE w:val="0"/>
              <w:autoSpaceDN w:val="0"/>
              <w:adjustRightInd w:val="0"/>
              <w:spacing w:line="480" w:lineRule="auto"/>
              <w:rPr>
                <w:sz w:val="24"/>
                <w:szCs w:val="24"/>
                <w:lang w:val="es-MX"/>
              </w:rPr>
            </w:pPr>
          </w:p>
        </w:tc>
        <w:tc>
          <w:tcPr>
            <w:tcW w:w="913" w:type="dxa"/>
            <w:tcBorders>
              <w:top w:val="single" w:sz="8" w:space="0" w:color="AEAEAE"/>
              <w:left w:val="single" w:sz="8" w:space="0" w:color="000000"/>
              <w:bottom w:val="single" w:sz="8" w:space="0" w:color="AEAEAE"/>
              <w:right w:val="single" w:sz="8" w:space="0" w:color="000000"/>
            </w:tcBorders>
            <w:shd w:val="clear" w:color="auto" w:fill="FFFFFF"/>
          </w:tcPr>
          <w:p w14:paraId="03580EE7" w14:textId="77777777" w:rsidR="00161F12" w:rsidRPr="00161F12" w:rsidRDefault="00161F12" w:rsidP="00161F12">
            <w:pPr>
              <w:autoSpaceDE w:val="0"/>
              <w:autoSpaceDN w:val="0"/>
              <w:adjustRightInd w:val="0"/>
              <w:spacing w:line="480" w:lineRule="auto"/>
              <w:ind w:left="60" w:right="60"/>
              <w:jc w:val="right"/>
              <w:rPr>
                <w:color w:val="000000"/>
                <w:sz w:val="24"/>
                <w:szCs w:val="24"/>
                <w:lang w:val="es-MX"/>
              </w:rPr>
            </w:pPr>
            <w:r w:rsidRPr="00161F12">
              <w:rPr>
                <w:color w:val="000000"/>
                <w:sz w:val="24"/>
                <w:szCs w:val="24"/>
                <w:lang w:val="es-MX"/>
              </w:rPr>
              <w:t>83</w:t>
            </w:r>
          </w:p>
        </w:tc>
        <w:tc>
          <w:tcPr>
            <w:tcW w:w="1315" w:type="dxa"/>
            <w:tcBorders>
              <w:top w:val="single" w:sz="8" w:space="0" w:color="AEAEAE"/>
              <w:left w:val="single" w:sz="8" w:space="0" w:color="000000"/>
              <w:bottom w:val="single" w:sz="8" w:space="0" w:color="AEAEAE"/>
              <w:right w:val="single" w:sz="16" w:space="0" w:color="000000"/>
            </w:tcBorders>
            <w:shd w:val="clear" w:color="auto" w:fill="FFFFFF"/>
          </w:tcPr>
          <w:p w14:paraId="644075C7" w14:textId="77777777" w:rsidR="00161F12" w:rsidRPr="00161F12" w:rsidRDefault="00161F12" w:rsidP="00161F12">
            <w:pPr>
              <w:autoSpaceDE w:val="0"/>
              <w:autoSpaceDN w:val="0"/>
              <w:adjustRightInd w:val="0"/>
              <w:spacing w:line="480" w:lineRule="auto"/>
              <w:ind w:left="60" w:right="60"/>
              <w:jc w:val="right"/>
              <w:rPr>
                <w:color w:val="000000"/>
                <w:sz w:val="24"/>
                <w:szCs w:val="24"/>
                <w:lang w:val="es-MX"/>
              </w:rPr>
            </w:pPr>
            <w:r w:rsidRPr="00161F12">
              <w:rPr>
                <w:color w:val="000000"/>
                <w:sz w:val="24"/>
                <w:szCs w:val="24"/>
                <w:lang w:val="es-MX"/>
              </w:rPr>
              <w:t>42.6%</w:t>
            </w:r>
          </w:p>
        </w:tc>
      </w:tr>
      <w:tr w:rsidR="00161F12" w:rsidRPr="00161F12" w14:paraId="3DE52445" w14:textId="77777777" w:rsidTr="00161F12">
        <w:trPr>
          <w:cantSplit/>
          <w:trHeight w:val="136"/>
        </w:trPr>
        <w:tc>
          <w:tcPr>
            <w:tcW w:w="2029" w:type="dxa"/>
            <w:vMerge/>
            <w:tcBorders>
              <w:top w:val="single" w:sz="8" w:space="0" w:color="AEAEAE"/>
              <w:left w:val="single" w:sz="16" w:space="0" w:color="000000"/>
              <w:bottom w:val="single" w:sz="8" w:space="0" w:color="AEAEAE"/>
              <w:right w:val="nil"/>
            </w:tcBorders>
            <w:shd w:val="clear" w:color="auto" w:fill="FFFFFF"/>
          </w:tcPr>
          <w:p w14:paraId="6AE5B72E" w14:textId="77777777" w:rsidR="00161F12" w:rsidRPr="00161F12" w:rsidRDefault="00161F12" w:rsidP="00161F12">
            <w:pPr>
              <w:autoSpaceDE w:val="0"/>
              <w:autoSpaceDN w:val="0"/>
              <w:adjustRightInd w:val="0"/>
              <w:spacing w:line="480" w:lineRule="auto"/>
              <w:rPr>
                <w:color w:val="000000"/>
                <w:sz w:val="24"/>
                <w:szCs w:val="24"/>
                <w:lang w:val="es-MX"/>
              </w:rPr>
            </w:pPr>
          </w:p>
        </w:tc>
        <w:tc>
          <w:tcPr>
            <w:tcW w:w="2203" w:type="dxa"/>
            <w:tcBorders>
              <w:top w:val="single" w:sz="8" w:space="0" w:color="AEAEAE"/>
              <w:left w:val="nil"/>
              <w:bottom w:val="single" w:sz="8" w:space="0" w:color="AEAEAE"/>
              <w:right w:val="single" w:sz="16" w:space="0" w:color="000000"/>
            </w:tcBorders>
            <w:shd w:val="clear" w:color="auto" w:fill="FFFFFF"/>
          </w:tcPr>
          <w:p w14:paraId="09B14F82" w14:textId="77777777" w:rsidR="00161F12" w:rsidRPr="00161F12" w:rsidRDefault="00161F12" w:rsidP="00161F12">
            <w:pPr>
              <w:autoSpaceDE w:val="0"/>
              <w:autoSpaceDN w:val="0"/>
              <w:adjustRightInd w:val="0"/>
              <w:spacing w:line="480" w:lineRule="auto"/>
              <w:ind w:left="60" w:right="60"/>
              <w:rPr>
                <w:color w:val="000000"/>
                <w:sz w:val="24"/>
                <w:szCs w:val="24"/>
                <w:lang w:val="es-MX"/>
              </w:rPr>
            </w:pPr>
            <w:r w:rsidRPr="00161F12">
              <w:rPr>
                <w:color w:val="000000"/>
                <w:sz w:val="24"/>
                <w:szCs w:val="24"/>
                <w:lang w:val="es-MX"/>
              </w:rPr>
              <w:t>ISUP 4 - GS 8 (4+4, 3+5, 5+3)</w:t>
            </w:r>
          </w:p>
        </w:tc>
        <w:tc>
          <w:tcPr>
            <w:tcW w:w="913" w:type="dxa"/>
            <w:tcBorders>
              <w:top w:val="single" w:sz="8" w:space="0" w:color="AEAEAE"/>
              <w:left w:val="single" w:sz="16" w:space="0" w:color="000000"/>
              <w:bottom w:val="single" w:sz="8" w:space="0" w:color="AEAEAE"/>
              <w:right w:val="single" w:sz="8" w:space="0" w:color="000000"/>
            </w:tcBorders>
            <w:shd w:val="clear" w:color="auto" w:fill="FFFFFF"/>
            <w:vAlign w:val="center"/>
          </w:tcPr>
          <w:p w14:paraId="7243E200" w14:textId="77777777" w:rsidR="00161F12" w:rsidRPr="00161F12" w:rsidRDefault="00161F12" w:rsidP="00161F12">
            <w:pPr>
              <w:autoSpaceDE w:val="0"/>
              <w:autoSpaceDN w:val="0"/>
              <w:adjustRightInd w:val="0"/>
              <w:spacing w:line="480" w:lineRule="auto"/>
              <w:rPr>
                <w:sz w:val="24"/>
                <w:szCs w:val="24"/>
                <w:lang w:val="es-MX"/>
              </w:rPr>
            </w:pPr>
          </w:p>
        </w:tc>
        <w:tc>
          <w:tcPr>
            <w:tcW w:w="1114" w:type="dxa"/>
            <w:tcBorders>
              <w:top w:val="single" w:sz="8" w:space="0" w:color="AEAEAE"/>
              <w:left w:val="single" w:sz="8" w:space="0" w:color="000000"/>
              <w:bottom w:val="single" w:sz="8" w:space="0" w:color="AEAEAE"/>
              <w:right w:val="single" w:sz="8" w:space="0" w:color="000000"/>
            </w:tcBorders>
            <w:shd w:val="clear" w:color="auto" w:fill="FFFFFF"/>
            <w:vAlign w:val="center"/>
          </w:tcPr>
          <w:p w14:paraId="3142078C" w14:textId="77777777" w:rsidR="00161F12" w:rsidRPr="00161F12" w:rsidRDefault="00161F12" w:rsidP="00161F12">
            <w:pPr>
              <w:autoSpaceDE w:val="0"/>
              <w:autoSpaceDN w:val="0"/>
              <w:adjustRightInd w:val="0"/>
              <w:spacing w:line="480" w:lineRule="auto"/>
              <w:rPr>
                <w:sz w:val="24"/>
                <w:szCs w:val="24"/>
                <w:lang w:val="es-MX"/>
              </w:rPr>
            </w:pPr>
          </w:p>
        </w:tc>
        <w:tc>
          <w:tcPr>
            <w:tcW w:w="1114" w:type="dxa"/>
            <w:tcBorders>
              <w:top w:val="single" w:sz="8" w:space="0" w:color="AEAEAE"/>
              <w:left w:val="single" w:sz="8" w:space="0" w:color="000000"/>
              <w:bottom w:val="single" w:sz="8" w:space="0" w:color="AEAEAE"/>
              <w:right w:val="single" w:sz="8" w:space="0" w:color="000000"/>
            </w:tcBorders>
            <w:shd w:val="clear" w:color="auto" w:fill="FFFFFF"/>
            <w:vAlign w:val="center"/>
          </w:tcPr>
          <w:p w14:paraId="4D284EC4" w14:textId="77777777" w:rsidR="00161F12" w:rsidRPr="00161F12" w:rsidRDefault="00161F12" w:rsidP="00161F12">
            <w:pPr>
              <w:autoSpaceDE w:val="0"/>
              <w:autoSpaceDN w:val="0"/>
              <w:adjustRightInd w:val="0"/>
              <w:spacing w:line="480" w:lineRule="auto"/>
              <w:rPr>
                <w:sz w:val="24"/>
                <w:szCs w:val="24"/>
                <w:lang w:val="es-MX"/>
              </w:rPr>
            </w:pPr>
          </w:p>
        </w:tc>
        <w:tc>
          <w:tcPr>
            <w:tcW w:w="913" w:type="dxa"/>
            <w:tcBorders>
              <w:top w:val="single" w:sz="8" w:space="0" w:color="AEAEAE"/>
              <w:left w:val="single" w:sz="8" w:space="0" w:color="000000"/>
              <w:bottom w:val="single" w:sz="8" w:space="0" w:color="AEAEAE"/>
              <w:right w:val="single" w:sz="8" w:space="0" w:color="000000"/>
            </w:tcBorders>
            <w:shd w:val="clear" w:color="auto" w:fill="FFFFFF"/>
          </w:tcPr>
          <w:p w14:paraId="1E6284EE" w14:textId="77777777" w:rsidR="00161F12" w:rsidRPr="00161F12" w:rsidRDefault="00161F12" w:rsidP="00161F12">
            <w:pPr>
              <w:autoSpaceDE w:val="0"/>
              <w:autoSpaceDN w:val="0"/>
              <w:adjustRightInd w:val="0"/>
              <w:spacing w:line="480" w:lineRule="auto"/>
              <w:ind w:left="60" w:right="60"/>
              <w:jc w:val="right"/>
              <w:rPr>
                <w:color w:val="000000"/>
                <w:sz w:val="24"/>
                <w:szCs w:val="24"/>
                <w:lang w:val="es-MX"/>
              </w:rPr>
            </w:pPr>
            <w:r w:rsidRPr="00161F12">
              <w:rPr>
                <w:color w:val="000000"/>
                <w:sz w:val="24"/>
                <w:szCs w:val="24"/>
                <w:lang w:val="es-MX"/>
              </w:rPr>
              <w:t>19</w:t>
            </w:r>
          </w:p>
        </w:tc>
        <w:tc>
          <w:tcPr>
            <w:tcW w:w="1315" w:type="dxa"/>
            <w:tcBorders>
              <w:top w:val="single" w:sz="8" w:space="0" w:color="AEAEAE"/>
              <w:left w:val="single" w:sz="8" w:space="0" w:color="000000"/>
              <w:bottom w:val="single" w:sz="8" w:space="0" w:color="AEAEAE"/>
              <w:right w:val="single" w:sz="16" w:space="0" w:color="000000"/>
            </w:tcBorders>
            <w:shd w:val="clear" w:color="auto" w:fill="FFFFFF"/>
          </w:tcPr>
          <w:p w14:paraId="44925C21" w14:textId="77777777" w:rsidR="00161F12" w:rsidRPr="00161F12" w:rsidRDefault="00161F12" w:rsidP="00161F12">
            <w:pPr>
              <w:autoSpaceDE w:val="0"/>
              <w:autoSpaceDN w:val="0"/>
              <w:adjustRightInd w:val="0"/>
              <w:spacing w:line="480" w:lineRule="auto"/>
              <w:ind w:left="60" w:right="60"/>
              <w:jc w:val="right"/>
              <w:rPr>
                <w:color w:val="000000"/>
                <w:sz w:val="24"/>
                <w:szCs w:val="24"/>
                <w:lang w:val="es-MX"/>
              </w:rPr>
            </w:pPr>
            <w:r w:rsidRPr="00161F12">
              <w:rPr>
                <w:color w:val="000000"/>
                <w:sz w:val="24"/>
                <w:szCs w:val="24"/>
                <w:lang w:val="es-MX"/>
              </w:rPr>
              <w:t>9.7%</w:t>
            </w:r>
          </w:p>
        </w:tc>
      </w:tr>
      <w:tr w:rsidR="00161F12" w:rsidRPr="00161F12" w14:paraId="004B7786" w14:textId="77777777" w:rsidTr="00161F12">
        <w:trPr>
          <w:cantSplit/>
          <w:trHeight w:val="136"/>
        </w:trPr>
        <w:tc>
          <w:tcPr>
            <w:tcW w:w="2029" w:type="dxa"/>
            <w:vMerge/>
            <w:tcBorders>
              <w:top w:val="single" w:sz="8" w:space="0" w:color="AEAEAE"/>
              <w:left w:val="single" w:sz="16" w:space="0" w:color="000000"/>
              <w:bottom w:val="single" w:sz="8" w:space="0" w:color="AEAEAE"/>
              <w:right w:val="nil"/>
            </w:tcBorders>
            <w:shd w:val="clear" w:color="auto" w:fill="FFFFFF"/>
          </w:tcPr>
          <w:p w14:paraId="1AAD5372" w14:textId="77777777" w:rsidR="00161F12" w:rsidRPr="00161F12" w:rsidRDefault="00161F12" w:rsidP="00161F12">
            <w:pPr>
              <w:autoSpaceDE w:val="0"/>
              <w:autoSpaceDN w:val="0"/>
              <w:adjustRightInd w:val="0"/>
              <w:spacing w:line="480" w:lineRule="auto"/>
              <w:rPr>
                <w:color w:val="000000"/>
                <w:sz w:val="24"/>
                <w:szCs w:val="24"/>
                <w:lang w:val="es-MX"/>
              </w:rPr>
            </w:pPr>
          </w:p>
        </w:tc>
        <w:tc>
          <w:tcPr>
            <w:tcW w:w="2203" w:type="dxa"/>
            <w:tcBorders>
              <w:top w:val="single" w:sz="8" w:space="0" w:color="AEAEAE"/>
              <w:left w:val="nil"/>
              <w:bottom w:val="single" w:sz="8" w:space="0" w:color="AEAEAE"/>
              <w:right w:val="single" w:sz="16" w:space="0" w:color="000000"/>
            </w:tcBorders>
            <w:shd w:val="clear" w:color="auto" w:fill="FFFFFF"/>
          </w:tcPr>
          <w:p w14:paraId="0666F0DE" w14:textId="77777777" w:rsidR="00161F12" w:rsidRPr="00161F12" w:rsidRDefault="00161F12" w:rsidP="00161F12">
            <w:pPr>
              <w:autoSpaceDE w:val="0"/>
              <w:autoSpaceDN w:val="0"/>
              <w:adjustRightInd w:val="0"/>
              <w:spacing w:line="480" w:lineRule="auto"/>
              <w:ind w:left="60" w:right="60"/>
              <w:rPr>
                <w:color w:val="000000"/>
                <w:sz w:val="24"/>
                <w:szCs w:val="24"/>
                <w:lang w:val="es-MX"/>
              </w:rPr>
            </w:pPr>
            <w:r w:rsidRPr="00161F12">
              <w:rPr>
                <w:color w:val="000000"/>
                <w:sz w:val="24"/>
                <w:szCs w:val="24"/>
                <w:lang w:val="es-MX"/>
              </w:rPr>
              <w:t>ISUP 5 - GS 9-10  (4+5, 5+4, 5+5)</w:t>
            </w:r>
          </w:p>
        </w:tc>
        <w:tc>
          <w:tcPr>
            <w:tcW w:w="913" w:type="dxa"/>
            <w:tcBorders>
              <w:top w:val="single" w:sz="8" w:space="0" w:color="AEAEAE"/>
              <w:left w:val="single" w:sz="16" w:space="0" w:color="000000"/>
              <w:bottom w:val="single" w:sz="8" w:space="0" w:color="AEAEAE"/>
              <w:right w:val="single" w:sz="8" w:space="0" w:color="000000"/>
            </w:tcBorders>
            <w:shd w:val="clear" w:color="auto" w:fill="FFFFFF"/>
            <w:vAlign w:val="center"/>
          </w:tcPr>
          <w:p w14:paraId="36332DD2" w14:textId="77777777" w:rsidR="00161F12" w:rsidRPr="00161F12" w:rsidRDefault="00161F12" w:rsidP="00161F12">
            <w:pPr>
              <w:autoSpaceDE w:val="0"/>
              <w:autoSpaceDN w:val="0"/>
              <w:adjustRightInd w:val="0"/>
              <w:spacing w:line="480" w:lineRule="auto"/>
              <w:rPr>
                <w:sz w:val="24"/>
                <w:szCs w:val="24"/>
                <w:lang w:val="es-MX"/>
              </w:rPr>
            </w:pPr>
          </w:p>
        </w:tc>
        <w:tc>
          <w:tcPr>
            <w:tcW w:w="1114" w:type="dxa"/>
            <w:tcBorders>
              <w:top w:val="single" w:sz="8" w:space="0" w:color="AEAEAE"/>
              <w:left w:val="single" w:sz="8" w:space="0" w:color="000000"/>
              <w:bottom w:val="single" w:sz="8" w:space="0" w:color="AEAEAE"/>
              <w:right w:val="single" w:sz="8" w:space="0" w:color="000000"/>
            </w:tcBorders>
            <w:shd w:val="clear" w:color="auto" w:fill="FFFFFF"/>
            <w:vAlign w:val="center"/>
          </w:tcPr>
          <w:p w14:paraId="64719B77" w14:textId="77777777" w:rsidR="00161F12" w:rsidRPr="00161F12" w:rsidRDefault="00161F12" w:rsidP="00161F12">
            <w:pPr>
              <w:autoSpaceDE w:val="0"/>
              <w:autoSpaceDN w:val="0"/>
              <w:adjustRightInd w:val="0"/>
              <w:spacing w:line="480" w:lineRule="auto"/>
              <w:rPr>
                <w:sz w:val="24"/>
                <w:szCs w:val="24"/>
                <w:lang w:val="es-MX"/>
              </w:rPr>
            </w:pPr>
          </w:p>
        </w:tc>
        <w:tc>
          <w:tcPr>
            <w:tcW w:w="1114" w:type="dxa"/>
            <w:tcBorders>
              <w:top w:val="single" w:sz="8" w:space="0" w:color="AEAEAE"/>
              <w:left w:val="single" w:sz="8" w:space="0" w:color="000000"/>
              <w:bottom w:val="single" w:sz="8" w:space="0" w:color="AEAEAE"/>
              <w:right w:val="single" w:sz="8" w:space="0" w:color="000000"/>
            </w:tcBorders>
            <w:shd w:val="clear" w:color="auto" w:fill="FFFFFF"/>
            <w:vAlign w:val="center"/>
          </w:tcPr>
          <w:p w14:paraId="75661DB0" w14:textId="77777777" w:rsidR="00161F12" w:rsidRPr="00161F12" w:rsidRDefault="00161F12" w:rsidP="00161F12">
            <w:pPr>
              <w:autoSpaceDE w:val="0"/>
              <w:autoSpaceDN w:val="0"/>
              <w:adjustRightInd w:val="0"/>
              <w:spacing w:line="480" w:lineRule="auto"/>
              <w:rPr>
                <w:sz w:val="24"/>
                <w:szCs w:val="24"/>
                <w:lang w:val="es-MX"/>
              </w:rPr>
            </w:pPr>
          </w:p>
        </w:tc>
        <w:tc>
          <w:tcPr>
            <w:tcW w:w="913" w:type="dxa"/>
            <w:tcBorders>
              <w:top w:val="single" w:sz="8" w:space="0" w:color="AEAEAE"/>
              <w:left w:val="single" w:sz="8" w:space="0" w:color="000000"/>
              <w:bottom w:val="single" w:sz="8" w:space="0" w:color="AEAEAE"/>
              <w:right w:val="single" w:sz="8" w:space="0" w:color="000000"/>
            </w:tcBorders>
            <w:shd w:val="clear" w:color="auto" w:fill="FFFFFF"/>
          </w:tcPr>
          <w:p w14:paraId="698DD3A2" w14:textId="77777777" w:rsidR="00161F12" w:rsidRPr="00161F12" w:rsidRDefault="00161F12" w:rsidP="00161F12">
            <w:pPr>
              <w:autoSpaceDE w:val="0"/>
              <w:autoSpaceDN w:val="0"/>
              <w:adjustRightInd w:val="0"/>
              <w:spacing w:line="480" w:lineRule="auto"/>
              <w:ind w:left="60" w:right="60"/>
              <w:jc w:val="right"/>
              <w:rPr>
                <w:color w:val="000000"/>
                <w:sz w:val="24"/>
                <w:szCs w:val="24"/>
                <w:lang w:val="es-MX"/>
              </w:rPr>
            </w:pPr>
            <w:r w:rsidRPr="00161F12">
              <w:rPr>
                <w:color w:val="000000"/>
                <w:sz w:val="24"/>
                <w:szCs w:val="24"/>
                <w:lang w:val="es-MX"/>
              </w:rPr>
              <w:t>55</w:t>
            </w:r>
          </w:p>
        </w:tc>
        <w:tc>
          <w:tcPr>
            <w:tcW w:w="1315" w:type="dxa"/>
            <w:tcBorders>
              <w:top w:val="single" w:sz="8" w:space="0" w:color="AEAEAE"/>
              <w:left w:val="single" w:sz="8" w:space="0" w:color="000000"/>
              <w:bottom w:val="single" w:sz="8" w:space="0" w:color="AEAEAE"/>
              <w:right w:val="single" w:sz="16" w:space="0" w:color="000000"/>
            </w:tcBorders>
            <w:shd w:val="clear" w:color="auto" w:fill="FFFFFF"/>
          </w:tcPr>
          <w:p w14:paraId="00FCE0DF" w14:textId="77777777" w:rsidR="00161F12" w:rsidRPr="00161F12" w:rsidRDefault="00161F12" w:rsidP="00161F12">
            <w:pPr>
              <w:autoSpaceDE w:val="0"/>
              <w:autoSpaceDN w:val="0"/>
              <w:adjustRightInd w:val="0"/>
              <w:spacing w:line="480" w:lineRule="auto"/>
              <w:ind w:left="60" w:right="60"/>
              <w:jc w:val="right"/>
              <w:rPr>
                <w:color w:val="000000"/>
                <w:sz w:val="24"/>
                <w:szCs w:val="24"/>
                <w:lang w:val="es-MX"/>
              </w:rPr>
            </w:pPr>
            <w:r w:rsidRPr="00161F12">
              <w:rPr>
                <w:color w:val="000000"/>
                <w:sz w:val="24"/>
                <w:szCs w:val="24"/>
                <w:lang w:val="es-MX"/>
              </w:rPr>
              <w:t>28.2%</w:t>
            </w:r>
          </w:p>
        </w:tc>
      </w:tr>
      <w:tr w:rsidR="00161F12" w:rsidRPr="00161F12" w14:paraId="70A4592B" w14:textId="77777777" w:rsidTr="00161F12">
        <w:trPr>
          <w:cantSplit/>
          <w:trHeight w:val="136"/>
        </w:trPr>
        <w:tc>
          <w:tcPr>
            <w:tcW w:w="2029" w:type="dxa"/>
            <w:vMerge/>
            <w:tcBorders>
              <w:top w:val="single" w:sz="8" w:space="0" w:color="AEAEAE"/>
              <w:left w:val="single" w:sz="16" w:space="0" w:color="000000"/>
              <w:bottom w:val="single" w:sz="8" w:space="0" w:color="AEAEAE"/>
              <w:right w:val="nil"/>
            </w:tcBorders>
            <w:shd w:val="clear" w:color="auto" w:fill="FFFFFF"/>
          </w:tcPr>
          <w:p w14:paraId="6A34FF1C" w14:textId="77777777" w:rsidR="00161F12" w:rsidRPr="00161F12" w:rsidRDefault="00161F12" w:rsidP="00161F12">
            <w:pPr>
              <w:autoSpaceDE w:val="0"/>
              <w:autoSpaceDN w:val="0"/>
              <w:adjustRightInd w:val="0"/>
              <w:spacing w:line="480" w:lineRule="auto"/>
              <w:rPr>
                <w:color w:val="000000"/>
                <w:sz w:val="24"/>
                <w:szCs w:val="24"/>
                <w:lang w:val="es-MX"/>
              </w:rPr>
            </w:pPr>
          </w:p>
        </w:tc>
        <w:tc>
          <w:tcPr>
            <w:tcW w:w="2203" w:type="dxa"/>
            <w:tcBorders>
              <w:top w:val="single" w:sz="8" w:space="0" w:color="AEAEAE"/>
              <w:left w:val="nil"/>
              <w:bottom w:val="single" w:sz="8" w:space="0" w:color="AEAEAE"/>
              <w:right w:val="single" w:sz="16" w:space="0" w:color="000000"/>
            </w:tcBorders>
            <w:shd w:val="clear" w:color="auto" w:fill="FFFFFF"/>
          </w:tcPr>
          <w:p w14:paraId="0E2BB9B1" w14:textId="77777777" w:rsidR="00161F12" w:rsidRPr="00161F12" w:rsidRDefault="00161F12" w:rsidP="00161F12">
            <w:pPr>
              <w:autoSpaceDE w:val="0"/>
              <w:autoSpaceDN w:val="0"/>
              <w:adjustRightInd w:val="0"/>
              <w:spacing w:line="480" w:lineRule="auto"/>
              <w:ind w:left="60" w:right="60"/>
              <w:rPr>
                <w:color w:val="000000"/>
                <w:sz w:val="24"/>
                <w:szCs w:val="24"/>
                <w:lang w:val="es-MX"/>
              </w:rPr>
            </w:pPr>
            <w:r w:rsidRPr="00161F12">
              <w:rPr>
                <w:color w:val="000000"/>
                <w:sz w:val="24"/>
                <w:szCs w:val="24"/>
                <w:lang w:val="es-MX"/>
              </w:rPr>
              <w:t>No hay cancer</w:t>
            </w:r>
          </w:p>
        </w:tc>
        <w:tc>
          <w:tcPr>
            <w:tcW w:w="913" w:type="dxa"/>
            <w:tcBorders>
              <w:top w:val="single" w:sz="8" w:space="0" w:color="AEAEAE"/>
              <w:left w:val="single" w:sz="16" w:space="0" w:color="000000"/>
              <w:bottom w:val="single" w:sz="8" w:space="0" w:color="AEAEAE"/>
              <w:right w:val="single" w:sz="8" w:space="0" w:color="000000"/>
            </w:tcBorders>
            <w:shd w:val="clear" w:color="auto" w:fill="FFFFFF"/>
            <w:vAlign w:val="center"/>
          </w:tcPr>
          <w:p w14:paraId="3E7F6137" w14:textId="77777777" w:rsidR="00161F12" w:rsidRPr="00161F12" w:rsidRDefault="00161F12" w:rsidP="00161F12">
            <w:pPr>
              <w:autoSpaceDE w:val="0"/>
              <w:autoSpaceDN w:val="0"/>
              <w:adjustRightInd w:val="0"/>
              <w:spacing w:line="480" w:lineRule="auto"/>
              <w:rPr>
                <w:sz w:val="24"/>
                <w:szCs w:val="24"/>
                <w:lang w:val="es-MX"/>
              </w:rPr>
            </w:pPr>
          </w:p>
        </w:tc>
        <w:tc>
          <w:tcPr>
            <w:tcW w:w="1114" w:type="dxa"/>
            <w:tcBorders>
              <w:top w:val="single" w:sz="8" w:space="0" w:color="AEAEAE"/>
              <w:left w:val="single" w:sz="8" w:space="0" w:color="000000"/>
              <w:bottom w:val="single" w:sz="8" w:space="0" w:color="AEAEAE"/>
              <w:right w:val="single" w:sz="8" w:space="0" w:color="000000"/>
            </w:tcBorders>
            <w:shd w:val="clear" w:color="auto" w:fill="FFFFFF"/>
            <w:vAlign w:val="center"/>
          </w:tcPr>
          <w:p w14:paraId="37C15160" w14:textId="77777777" w:rsidR="00161F12" w:rsidRPr="00161F12" w:rsidRDefault="00161F12" w:rsidP="00161F12">
            <w:pPr>
              <w:autoSpaceDE w:val="0"/>
              <w:autoSpaceDN w:val="0"/>
              <w:adjustRightInd w:val="0"/>
              <w:spacing w:line="480" w:lineRule="auto"/>
              <w:rPr>
                <w:sz w:val="24"/>
                <w:szCs w:val="24"/>
                <w:lang w:val="es-MX"/>
              </w:rPr>
            </w:pPr>
          </w:p>
        </w:tc>
        <w:tc>
          <w:tcPr>
            <w:tcW w:w="1114" w:type="dxa"/>
            <w:tcBorders>
              <w:top w:val="single" w:sz="8" w:space="0" w:color="AEAEAE"/>
              <w:left w:val="single" w:sz="8" w:space="0" w:color="000000"/>
              <w:bottom w:val="single" w:sz="8" w:space="0" w:color="AEAEAE"/>
              <w:right w:val="single" w:sz="8" w:space="0" w:color="000000"/>
            </w:tcBorders>
            <w:shd w:val="clear" w:color="auto" w:fill="FFFFFF"/>
            <w:vAlign w:val="center"/>
          </w:tcPr>
          <w:p w14:paraId="0E5B93EA" w14:textId="77777777" w:rsidR="00161F12" w:rsidRPr="00161F12" w:rsidRDefault="00161F12" w:rsidP="00161F12">
            <w:pPr>
              <w:autoSpaceDE w:val="0"/>
              <w:autoSpaceDN w:val="0"/>
              <w:adjustRightInd w:val="0"/>
              <w:spacing w:line="480" w:lineRule="auto"/>
              <w:rPr>
                <w:sz w:val="24"/>
                <w:szCs w:val="24"/>
                <w:lang w:val="es-MX"/>
              </w:rPr>
            </w:pPr>
          </w:p>
        </w:tc>
        <w:tc>
          <w:tcPr>
            <w:tcW w:w="913" w:type="dxa"/>
            <w:tcBorders>
              <w:top w:val="single" w:sz="8" w:space="0" w:color="AEAEAE"/>
              <w:left w:val="single" w:sz="8" w:space="0" w:color="000000"/>
              <w:bottom w:val="single" w:sz="8" w:space="0" w:color="AEAEAE"/>
              <w:right w:val="single" w:sz="8" w:space="0" w:color="000000"/>
            </w:tcBorders>
            <w:shd w:val="clear" w:color="auto" w:fill="FFFFFF"/>
          </w:tcPr>
          <w:p w14:paraId="6A4628C9" w14:textId="77777777" w:rsidR="00161F12" w:rsidRPr="00161F12" w:rsidRDefault="00161F12" w:rsidP="00161F12">
            <w:pPr>
              <w:autoSpaceDE w:val="0"/>
              <w:autoSpaceDN w:val="0"/>
              <w:adjustRightInd w:val="0"/>
              <w:spacing w:line="480" w:lineRule="auto"/>
              <w:ind w:left="60" w:right="60"/>
              <w:jc w:val="right"/>
              <w:rPr>
                <w:color w:val="000000"/>
                <w:sz w:val="24"/>
                <w:szCs w:val="24"/>
                <w:lang w:val="es-MX"/>
              </w:rPr>
            </w:pPr>
            <w:r w:rsidRPr="00161F12">
              <w:rPr>
                <w:color w:val="000000"/>
                <w:sz w:val="24"/>
                <w:szCs w:val="24"/>
                <w:lang w:val="es-MX"/>
              </w:rPr>
              <w:t>4</w:t>
            </w:r>
          </w:p>
        </w:tc>
        <w:tc>
          <w:tcPr>
            <w:tcW w:w="1315" w:type="dxa"/>
            <w:tcBorders>
              <w:top w:val="single" w:sz="8" w:space="0" w:color="AEAEAE"/>
              <w:left w:val="single" w:sz="8" w:space="0" w:color="000000"/>
              <w:bottom w:val="single" w:sz="8" w:space="0" w:color="AEAEAE"/>
              <w:right w:val="single" w:sz="16" w:space="0" w:color="000000"/>
            </w:tcBorders>
            <w:shd w:val="clear" w:color="auto" w:fill="FFFFFF"/>
          </w:tcPr>
          <w:p w14:paraId="20978A60" w14:textId="77777777" w:rsidR="00161F12" w:rsidRPr="00161F12" w:rsidRDefault="00161F12" w:rsidP="00161F12">
            <w:pPr>
              <w:autoSpaceDE w:val="0"/>
              <w:autoSpaceDN w:val="0"/>
              <w:adjustRightInd w:val="0"/>
              <w:spacing w:line="480" w:lineRule="auto"/>
              <w:ind w:left="60" w:right="60"/>
              <w:jc w:val="right"/>
              <w:rPr>
                <w:color w:val="000000"/>
                <w:sz w:val="24"/>
                <w:szCs w:val="24"/>
                <w:lang w:val="es-MX"/>
              </w:rPr>
            </w:pPr>
            <w:r w:rsidRPr="00161F12">
              <w:rPr>
                <w:color w:val="000000"/>
                <w:sz w:val="24"/>
                <w:szCs w:val="24"/>
                <w:lang w:val="es-MX"/>
              </w:rPr>
              <w:t>2.1%</w:t>
            </w:r>
          </w:p>
        </w:tc>
      </w:tr>
      <w:tr w:rsidR="00161F12" w:rsidRPr="00161F12" w14:paraId="50206AC0" w14:textId="77777777" w:rsidTr="00161F12">
        <w:trPr>
          <w:cantSplit/>
          <w:trHeight w:val="301"/>
        </w:trPr>
        <w:tc>
          <w:tcPr>
            <w:tcW w:w="2029" w:type="dxa"/>
            <w:vMerge w:val="restart"/>
            <w:tcBorders>
              <w:top w:val="single" w:sz="8" w:space="0" w:color="AEAEAE"/>
              <w:left w:val="single" w:sz="16" w:space="0" w:color="000000"/>
              <w:bottom w:val="single" w:sz="16" w:space="0" w:color="000000"/>
              <w:right w:val="nil"/>
            </w:tcBorders>
            <w:shd w:val="clear" w:color="auto" w:fill="FFFFFF"/>
          </w:tcPr>
          <w:p w14:paraId="6BFDADB8" w14:textId="77777777" w:rsidR="00161F12" w:rsidRPr="00161F12" w:rsidRDefault="00161F12" w:rsidP="00161F12">
            <w:pPr>
              <w:autoSpaceDE w:val="0"/>
              <w:autoSpaceDN w:val="0"/>
              <w:adjustRightInd w:val="0"/>
              <w:spacing w:line="480" w:lineRule="auto"/>
              <w:ind w:left="60" w:right="60"/>
              <w:rPr>
                <w:color w:val="000000"/>
                <w:sz w:val="24"/>
                <w:szCs w:val="24"/>
                <w:lang w:val="es-MX"/>
              </w:rPr>
            </w:pPr>
            <w:r w:rsidRPr="00161F12">
              <w:rPr>
                <w:color w:val="000000"/>
                <w:sz w:val="24"/>
                <w:szCs w:val="24"/>
                <w:lang w:val="es-MX"/>
              </w:rPr>
              <w:t>ISUP Biopsia sistematica</w:t>
            </w:r>
          </w:p>
        </w:tc>
        <w:tc>
          <w:tcPr>
            <w:tcW w:w="2203" w:type="dxa"/>
            <w:tcBorders>
              <w:top w:val="single" w:sz="8" w:space="0" w:color="AEAEAE"/>
              <w:left w:val="nil"/>
              <w:bottom w:val="single" w:sz="8" w:space="0" w:color="AEAEAE"/>
              <w:right w:val="single" w:sz="16" w:space="0" w:color="000000"/>
            </w:tcBorders>
            <w:shd w:val="clear" w:color="auto" w:fill="FFFFFF"/>
          </w:tcPr>
          <w:p w14:paraId="7DFE69A5" w14:textId="77777777" w:rsidR="00161F12" w:rsidRPr="00161F12" w:rsidRDefault="00161F12" w:rsidP="00161F12">
            <w:pPr>
              <w:autoSpaceDE w:val="0"/>
              <w:autoSpaceDN w:val="0"/>
              <w:adjustRightInd w:val="0"/>
              <w:spacing w:line="480" w:lineRule="auto"/>
              <w:ind w:left="60" w:right="60"/>
              <w:rPr>
                <w:color w:val="000000"/>
                <w:sz w:val="24"/>
                <w:szCs w:val="24"/>
                <w:lang w:val="es-MX"/>
              </w:rPr>
            </w:pPr>
            <w:r w:rsidRPr="00161F12">
              <w:rPr>
                <w:color w:val="000000"/>
                <w:sz w:val="24"/>
                <w:szCs w:val="24"/>
                <w:lang w:val="es-MX"/>
              </w:rPr>
              <w:t>ISUP 1 - GS 6 (3+3)</w:t>
            </w:r>
          </w:p>
        </w:tc>
        <w:tc>
          <w:tcPr>
            <w:tcW w:w="913" w:type="dxa"/>
            <w:tcBorders>
              <w:top w:val="single" w:sz="8" w:space="0" w:color="AEAEAE"/>
              <w:left w:val="single" w:sz="16" w:space="0" w:color="000000"/>
              <w:bottom w:val="single" w:sz="8" w:space="0" w:color="AEAEAE"/>
              <w:right w:val="single" w:sz="8" w:space="0" w:color="000000"/>
            </w:tcBorders>
            <w:shd w:val="clear" w:color="auto" w:fill="FFFFFF"/>
            <w:vAlign w:val="center"/>
          </w:tcPr>
          <w:p w14:paraId="2427DE3F" w14:textId="77777777" w:rsidR="00161F12" w:rsidRPr="00161F12" w:rsidRDefault="00161F12" w:rsidP="00161F12">
            <w:pPr>
              <w:autoSpaceDE w:val="0"/>
              <w:autoSpaceDN w:val="0"/>
              <w:adjustRightInd w:val="0"/>
              <w:spacing w:line="480" w:lineRule="auto"/>
              <w:rPr>
                <w:sz w:val="24"/>
                <w:szCs w:val="24"/>
                <w:lang w:val="es-MX"/>
              </w:rPr>
            </w:pPr>
          </w:p>
        </w:tc>
        <w:tc>
          <w:tcPr>
            <w:tcW w:w="1114" w:type="dxa"/>
            <w:tcBorders>
              <w:top w:val="single" w:sz="8" w:space="0" w:color="AEAEAE"/>
              <w:left w:val="single" w:sz="8" w:space="0" w:color="000000"/>
              <w:bottom w:val="single" w:sz="8" w:space="0" w:color="AEAEAE"/>
              <w:right w:val="single" w:sz="8" w:space="0" w:color="000000"/>
            </w:tcBorders>
            <w:shd w:val="clear" w:color="auto" w:fill="FFFFFF"/>
            <w:vAlign w:val="center"/>
          </w:tcPr>
          <w:p w14:paraId="2885E1BE" w14:textId="77777777" w:rsidR="00161F12" w:rsidRPr="00161F12" w:rsidRDefault="00161F12" w:rsidP="00161F12">
            <w:pPr>
              <w:autoSpaceDE w:val="0"/>
              <w:autoSpaceDN w:val="0"/>
              <w:adjustRightInd w:val="0"/>
              <w:spacing w:line="480" w:lineRule="auto"/>
              <w:rPr>
                <w:sz w:val="24"/>
                <w:szCs w:val="24"/>
                <w:lang w:val="es-MX"/>
              </w:rPr>
            </w:pPr>
          </w:p>
        </w:tc>
        <w:tc>
          <w:tcPr>
            <w:tcW w:w="1114" w:type="dxa"/>
            <w:tcBorders>
              <w:top w:val="single" w:sz="8" w:space="0" w:color="AEAEAE"/>
              <w:left w:val="single" w:sz="8" w:space="0" w:color="000000"/>
              <w:bottom w:val="single" w:sz="8" w:space="0" w:color="AEAEAE"/>
              <w:right w:val="single" w:sz="8" w:space="0" w:color="000000"/>
            </w:tcBorders>
            <w:shd w:val="clear" w:color="auto" w:fill="FFFFFF"/>
            <w:vAlign w:val="center"/>
          </w:tcPr>
          <w:p w14:paraId="3331FB1C" w14:textId="77777777" w:rsidR="00161F12" w:rsidRPr="00161F12" w:rsidRDefault="00161F12" w:rsidP="00161F12">
            <w:pPr>
              <w:autoSpaceDE w:val="0"/>
              <w:autoSpaceDN w:val="0"/>
              <w:adjustRightInd w:val="0"/>
              <w:spacing w:line="480" w:lineRule="auto"/>
              <w:rPr>
                <w:sz w:val="24"/>
                <w:szCs w:val="24"/>
                <w:lang w:val="es-MX"/>
              </w:rPr>
            </w:pPr>
          </w:p>
        </w:tc>
        <w:tc>
          <w:tcPr>
            <w:tcW w:w="913" w:type="dxa"/>
            <w:tcBorders>
              <w:top w:val="single" w:sz="8" w:space="0" w:color="AEAEAE"/>
              <w:left w:val="single" w:sz="8" w:space="0" w:color="000000"/>
              <w:bottom w:val="single" w:sz="8" w:space="0" w:color="AEAEAE"/>
              <w:right w:val="single" w:sz="8" w:space="0" w:color="000000"/>
            </w:tcBorders>
            <w:shd w:val="clear" w:color="auto" w:fill="FFFFFF"/>
          </w:tcPr>
          <w:p w14:paraId="1F7B26C8" w14:textId="77777777" w:rsidR="00161F12" w:rsidRPr="00161F12" w:rsidRDefault="00161F12" w:rsidP="00161F12">
            <w:pPr>
              <w:autoSpaceDE w:val="0"/>
              <w:autoSpaceDN w:val="0"/>
              <w:adjustRightInd w:val="0"/>
              <w:spacing w:line="480" w:lineRule="auto"/>
              <w:ind w:left="60" w:right="60"/>
              <w:jc w:val="right"/>
              <w:rPr>
                <w:color w:val="000000"/>
                <w:sz w:val="24"/>
                <w:szCs w:val="24"/>
                <w:lang w:val="es-MX"/>
              </w:rPr>
            </w:pPr>
            <w:r w:rsidRPr="00161F12">
              <w:rPr>
                <w:color w:val="000000"/>
                <w:sz w:val="24"/>
                <w:szCs w:val="24"/>
                <w:lang w:val="es-MX"/>
              </w:rPr>
              <w:t>3</w:t>
            </w:r>
          </w:p>
        </w:tc>
        <w:tc>
          <w:tcPr>
            <w:tcW w:w="1315" w:type="dxa"/>
            <w:tcBorders>
              <w:top w:val="single" w:sz="8" w:space="0" w:color="AEAEAE"/>
              <w:left w:val="single" w:sz="8" w:space="0" w:color="000000"/>
              <w:bottom w:val="single" w:sz="8" w:space="0" w:color="AEAEAE"/>
              <w:right w:val="single" w:sz="16" w:space="0" w:color="000000"/>
            </w:tcBorders>
            <w:shd w:val="clear" w:color="auto" w:fill="FFFFFF"/>
          </w:tcPr>
          <w:p w14:paraId="528B96AE" w14:textId="77777777" w:rsidR="00161F12" w:rsidRPr="00161F12" w:rsidRDefault="00161F12" w:rsidP="00161F12">
            <w:pPr>
              <w:autoSpaceDE w:val="0"/>
              <w:autoSpaceDN w:val="0"/>
              <w:adjustRightInd w:val="0"/>
              <w:spacing w:line="480" w:lineRule="auto"/>
              <w:ind w:left="60" w:right="60"/>
              <w:jc w:val="right"/>
              <w:rPr>
                <w:color w:val="000000"/>
                <w:sz w:val="24"/>
                <w:szCs w:val="24"/>
                <w:lang w:val="es-MX"/>
              </w:rPr>
            </w:pPr>
            <w:r w:rsidRPr="00161F12">
              <w:rPr>
                <w:color w:val="000000"/>
                <w:sz w:val="24"/>
                <w:szCs w:val="24"/>
                <w:lang w:val="es-MX"/>
              </w:rPr>
              <w:t>1.5%</w:t>
            </w:r>
          </w:p>
        </w:tc>
      </w:tr>
      <w:tr w:rsidR="00161F12" w:rsidRPr="00161F12" w14:paraId="15D27869" w14:textId="77777777" w:rsidTr="00161F12">
        <w:trPr>
          <w:cantSplit/>
          <w:trHeight w:val="136"/>
        </w:trPr>
        <w:tc>
          <w:tcPr>
            <w:tcW w:w="2029" w:type="dxa"/>
            <w:vMerge/>
            <w:tcBorders>
              <w:top w:val="single" w:sz="8" w:space="0" w:color="AEAEAE"/>
              <w:left w:val="single" w:sz="16" w:space="0" w:color="000000"/>
              <w:bottom w:val="single" w:sz="16" w:space="0" w:color="000000"/>
              <w:right w:val="nil"/>
            </w:tcBorders>
            <w:shd w:val="clear" w:color="auto" w:fill="FFFFFF"/>
          </w:tcPr>
          <w:p w14:paraId="06AC23EA" w14:textId="77777777" w:rsidR="00161F12" w:rsidRPr="00161F12" w:rsidRDefault="00161F12" w:rsidP="00161F12">
            <w:pPr>
              <w:autoSpaceDE w:val="0"/>
              <w:autoSpaceDN w:val="0"/>
              <w:adjustRightInd w:val="0"/>
              <w:spacing w:line="480" w:lineRule="auto"/>
              <w:rPr>
                <w:color w:val="000000"/>
                <w:sz w:val="24"/>
                <w:szCs w:val="24"/>
                <w:lang w:val="es-MX"/>
              </w:rPr>
            </w:pPr>
          </w:p>
        </w:tc>
        <w:tc>
          <w:tcPr>
            <w:tcW w:w="2203" w:type="dxa"/>
            <w:tcBorders>
              <w:top w:val="single" w:sz="8" w:space="0" w:color="AEAEAE"/>
              <w:left w:val="nil"/>
              <w:bottom w:val="single" w:sz="8" w:space="0" w:color="AEAEAE"/>
              <w:right w:val="single" w:sz="16" w:space="0" w:color="000000"/>
            </w:tcBorders>
            <w:shd w:val="clear" w:color="auto" w:fill="FFFFFF"/>
          </w:tcPr>
          <w:p w14:paraId="14EA8B85" w14:textId="77777777" w:rsidR="00161F12" w:rsidRPr="00161F12" w:rsidRDefault="00161F12" w:rsidP="00161F12">
            <w:pPr>
              <w:autoSpaceDE w:val="0"/>
              <w:autoSpaceDN w:val="0"/>
              <w:adjustRightInd w:val="0"/>
              <w:spacing w:line="480" w:lineRule="auto"/>
              <w:ind w:left="60" w:right="60"/>
              <w:rPr>
                <w:color w:val="000000"/>
                <w:sz w:val="24"/>
                <w:szCs w:val="24"/>
                <w:lang w:val="es-MX"/>
              </w:rPr>
            </w:pPr>
            <w:r w:rsidRPr="00161F12">
              <w:rPr>
                <w:color w:val="000000"/>
                <w:sz w:val="24"/>
                <w:szCs w:val="24"/>
                <w:lang w:val="es-MX"/>
              </w:rPr>
              <w:t>ISUP 2 - GS 7 (3+4)</w:t>
            </w:r>
          </w:p>
        </w:tc>
        <w:tc>
          <w:tcPr>
            <w:tcW w:w="913" w:type="dxa"/>
            <w:tcBorders>
              <w:top w:val="single" w:sz="8" w:space="0" w:color="AEAEAE"/>
              <w:left w:val="single" w:sz="16" w:space="0" w:color="000000"/>
              <w:bottom w:val="single" w:sz="8" w:space="0" w:color="AEAEAE"/>
              <w:right w:val="single" w:sz="8" w:space="0" w:color="000000"/>
            </w:tcBorders>
            <w:shd w:val="clear" w:color="auto" w:fill="FFFFFF"/>
            <w:vAlign w:val="center"/>
          </w:tcPr>
          <w:p w14:paraId="04F73A0C" w14:textId="77777777" w:rsidR="00161F12" w:rsidRPr="00161F12" w:rsidRDefault="00161F12" w:rsidP="00161F12">
            <w:pPr>
              <w:autoSpaceDE w:val="0"/>
              <w:autoSpaceDN w:val="0"/>
              <w:adjustRightInd w:val="0"/>
              <w:spacing w:line="480" w:lineRule="auto"/>
              <w:rPr>
                <w:sz w:val="24"/>
                <w:szCs w:val="24"/>
                <w:lang w:val="es-MX"/>
              </w:rPr>
            </w:pPr>
          </w:p>
        </w:tc>
        <w:tc>
          <w:tcPr>
            <w:tcW w:w="1114" w:type="dxa"/>
            <w:tcBorders>
              <w:top w:val="single" w:sz="8" w:space="0" w:color="AEAEAE"/>
              <w:left w:val="single" w:sz="8" w:space="0" w:color="000000"/>
              <w:bottom w:val="single" w:sz="8" w:space="0" w:color="AEAEAE"/>
              <w:right w:val="single" w:sz="8" w:space="0" w:color="000000"/>
            </w:tcBorders>
            <w:shd w:val="clear" w:color="auto" w:fill="FFFFFF"/>
            <w:vAlign w:val="center"/>
          </w:tcPr>
          <w:p w14:paraId="1B7A91D6" w14:textId="77777777" w:rsidR="00161F12" w:rsidRPr="00161F12" w:rsidRDefault="00161F12" w:rsidP="00161F12">
            <w:pPr>
              <w:autoSpaceDE w:val="0"/>
              <w:autoSpaceDN w:val="0"/>
              <w:adjustRightInd w:val="0"/>
              <w:spacing w:line="480" w:lineRule="auto"/>
              <w:rPr>
                <w:sz w:val="24"/>
                <w:szCs w:val="24"/>
                <w:lang w:val="es-MX"/>
              </w:rPr>
            </w:pPr>
          </w:p>
        </w:tc>
        <w:tc>
          <w:tcPr>
            <w:tcW w:w="1114" w:type="dxa"/>
            <w:tcBorders>
              <w:top w:val="single" w:sz="8" w:space="0" w:color="AEAEAE"/>
              <w:left w:val="single" w:sz="8" w:space="0" w:color="000000"/>
              <w:bottom w:val="single" w:sz="8" w:space="0" w:color="AEAEAE"/>
              <w:right w:val="single" w:sz="8" w:space="0" w:color="000000"/>
            </w:tcBorders>
            <w:shd w:val="clear" w:color="auto" w:fill="FFFFFF"/>
            <w:vAlign w:val="center"/>
          </w:tcPr>
          <w:p w14:paraId="4839906A" w14:textId="77777777" w:rsidR="00161F12" w:rsidRPr="00161F12" w:rsidRDefault="00161F12" w:rsidP="00161F12">
            <w:pPr>
              <w:autoSpaceDE w:val="0"/>
              <w:autoSpaceDN w:val="0"/>
              <w:adjustRightInd w:val="0"/>
              <w:spacing w:line="480" w:lineRule="auto"/>
              <w:rPr>
                <w:sz w:val="24"/>
                <w:szCs w:val="24"/>
                <w:lang w:val="es-MX"/>
              </w:rPr>
            </w:pPr>
          </w:p>
        </w:tc>
        <w:tc>
          <w:tcPr>
            <w:tcW w:w="913" w:type="dxa"/>
            <w:tcBorders>
              <w:top w:val="single" w:sz="8" w:space="0" w:color="AEAEAE"/>
              <w:left w:val="single" w:sz="8" w:space="0" w:color="000000"/>
              <w:bottom w:val="single" w:sz="8" w:space="0" w:color="AEAEAE"/>
              <w:right w:val="single" w:sz="8" w:space="0" w:color="000000"/>
            </w:tcBorders>
            <w:shd w:val="clear" w:color="auto" w:fill="FFFFFF"/>
          </w:tcPr>
          <w:p w14:paraId="63660BE5" w14:textId="77777777" w:rsidR="00161F12" w:rsidRPr="00161F12" w:rsidRDefault="00161F12" w:rsidP="00161F12">
            <w:pPr>
              <w:autoSpaceDE w:val="0"/>
              <w:autoSpaceDN w:val="0"/>
              <w:adjustRightInd w:val="0"/>
              <w:spacing w:line="480" w:lineRule="auto"/>
              <w:ind w:left="60" w:right="60"/>
              <w:jc w:val="right"/>
              <w:rPr>
                <w:color w:val="000000"/>
                <w:sz w:val="24"/>
                <w:szCs w:val="24"/>
                <w:lang w:val="es-MX"/>
              </w:rPr>
            </w:pPr>
            <w:r w:rsidRPr="00161F12">
              <w:rPr>
                <w:color w:val="000000"/>
                <w:sz w:val="24"/>
                <w:szCs w:val="24"/>
                <w:lang w:val="es-MX"/>
              </w:rPr>
              <w:t>27</w:t>
            </w:r>
          </w:p>
        </w:tc>
        <w:tc>
          <w:tcPr>
            <w:tcW w:w="1315" w:type="dxa"/>
            <w:tcBorders>
              <w:top w:val="single" w:sz="8" w:space="0" w:color="AEAEAE"/>
              <w:left w:val="single" w:sz="8" w:space="0" w:color="000000"/>
              <w:bottom w:val="single" w:sz="8" w:space="0" w:color="AEAEAE"/>
              <w:right w:val="single" w:sz="16" w:space="0" w:color="000000"/>
            </w:tcBorders>
            <w:shd w:val="clear" w:color="auto" w:fill="FFFFFF"/>
          </w:tcPr>
          <w:p w14:paraId="5CE344C7" w14:textId="77777777" w:rsidR="00161F12" w:rsidRPr="00161F12" w:rsidRDefault="00161F12" w:rsidP="00161F12">
            <w:pPr>
              <w:autoSpaceDE w:val="0"/>
              <w:autoSpaceDN w:val="0"/>
              <w:adjustRightInd w:val="0"/>
              <w:spacing w:line="480" w:lineRule="auto"/>
              <w:ind w:left="60" w:right="60"/>
              <w:jc w:val="right"/>
              <w:rPr>
                <w:color w:val="000000"/>
                <w:sz w:val="24"/>
                <w:szCs w:val="24"/>
                <w:lang w:val="es-MX"/>
              </w:rPr>
            </w:pPr>
            <w:r w:rsidRPr="00161F12">
              <w:rPr>
                <w:color w:val="000000"/>
                <w:sz w:val="24"/>
                <w:szCs w:val="24"/>
                <w:lang w:val="es-MX"/>
              </w:rPr>
              <w:t>13.8%</w:t>
            </w:r>
          </w:p>
        </w:tc>
      </w:tr>
      <w:tr w:rsidR="00161F12" w:rsidRPr="00161F12" w14:paraId="07DAC04F" w14:textId="77777777" w:rsidTr="00161F12">
        <w:trPr>
          <w:cantSplit/>
          <w:trHeight w:val="136"/>
        </w:trPr>
        <w:tc>
          <w:tcPr>
            <w:tcW w:w="2029" w:type="dxa"/>
            <w:vMerge/>
            <w:tcBorders>
              <w:top w:val="single" w:sz="8" w:space="0" w:color="AEAEAE"/>
              <w:left w:val="single" w:sz="16" w:space="0" w:color="000000"/>
              <w:bottom w:val="single" w:sz="16" w:space="0" w:color="000000"/>
              <w:right w:val="nil"/>
            </w:tcBorders>
            <w:shd w:val="clear" w:color="auto" w:fill="FFFFFF"/>
          </w:tcPr>
          <w:p w14:paraId="4662201F" w14:textId="77777777" w:rsidR="00161F12" w:rsidRPr="00161F12" w:rsidRDefault="00161F12" w:rsidP="00161F12">
            <w:pPr>
              <w:autoSpaceDE w:val="0"/>
              <w:autoSpaceDN w:val="0"/>
              <w:adjustRightInd w:val="0"/>
              <w:spacing w:line="480" w:lineRule="auto"/>
              <w:rPr>
                <w:color w:val="000000"/>
                <w:sz w:val="24"/>
                <w:szCs w:val="24"/>
                <w:lang w:val="es-MX"/>
              </w:rPr>
            </w:pPr>
          </w:p>
        </w:tc>
        <w:tc>
          <w:tcPr>
            <w:tcW w:w="2203" w:type="dxa"/>
            <w:tcBorders>
              <w:top w:val="single" w:sz="8" w:space="0" w:color="AEAEAE"/>
              <w:left w:val="nil"/>
              <w:bottom w:val="single" w:sz="8" w:space="0" w:color="AEAEAE"/>
              <w:right w:val="single" w:sz="16" w:space="0" w:color="000000"/>
            </w:tcBorders>
            <w:shd w:val="clear" w:color="auto" w:fill="FFFFFF"/>
          </w:tcPr>
          <w:p w14:paraId="3D772625" w14:textId="77777777" w:rsidR="00161F12" w:rsidRPr="00161F12" w:rsidRDefault="00161F12" w:rsidP="00161F12">
            <w:pPr>
              <w:autoSpaceDE w:val="0"/>
              <w:autoSpaceDN w:val="0"/>
              <w:adjustRightInd w:val="0"/>
              <w:spacing w:line="480" w:lineRule="auto"/>
              <w:ind w:left="60" w:right="60"/>
              <w:rPr>
                <w:color w:val="000000"/>
                <w:sz w:val="24"/>
                <w:szCs w:val="24"/>
                <w:lang w:val="es-MX"/>
              </w:rPr>
            </w:pPr>
            <w:r w:rsidRPr="00161F12">
              <w:rPr>
                <w:color w:val="000000"/>
                <w:sz w:val="24"/>
                <w:szCs w:val="24"/>
                <w:lang w:val="es-MX"/>
              </w:rPr>
              <w:t>ISUP 3 - GS 7 (4+3)</w:t>
            </w:r>
          </w:p>
        </w:tc>
        <w:tc>
          <w:tcPr>
            <w:tcW w:w="913" w:type="dxa"/>
            <w:tcBorders>
              <w:top w:val="single" w:sz="8" w:space="0" w:color="AEAEAE"/>
              <w:left w:val="single" w:sz="16" w:space="0" w:color="000000"/>
              <w:bottom w:val="single" w:sz="8" w:space="0" w:color="AEAEAE"/>
              <w:right w:val="single" w:sz="8" w:space="0" w:color="000000"/>
            </w:tcBorders>
            <w:shd w:val="clear" w:color="auto" w:fill="FFFFFF"/>
            <w:vAlign w:val="center"/>
          </w:tcPr>
          <w:p w14:paraId="1EFF2DF6" w14:textId="77777777" w:rsidR="00161F12" w:rsidRPr="00161F12" w:rsidRDefault="00161F12" w:rsidP="00161F12">
            <w:pPr>
              <w:autoSpaceDE w:val="0"/>
              <w:autoSpaceDN w:val="0"/>
              <w:adjustRightInd w:val="0"/>
              <w:spacing w:line="480" w:lineRule="auto"/>
              <w:rPr>
                <w:sz w:val="24"/>
                <w:szCs w:val="24"/>
                <w:lang w:val="es-MX"/>
              </w:rPr>
            </w:pPr>
          </w:p>
        </w:tc>
        <w:tc>
          <w:tcPr>
            <w:tcW w:w="1114" w:type="dxa"/>
            <w:tcBorders>
              <w:top w:val="single" w:sz="8" w:space="0" w:color="AEAEAE"/>
              <w:left w:val="single" w:sz="8" w:space="0" w:color="000000"/>
              <w:bottom w:val="single" w:sz="8" w:space="0" w:color="AEAEAE"/>
              <w:right w:val="single" w:sz="8" w:space="0" w:color="000000"/>
            </w:tcBorders>
            <w:shd w:val="clear" w:color="auto" w:fill="FFFFFF"/>
            <w:vAlign w:val="center"/>
          </w:tcPr>
          <w:p w14:paraId="3E930C03" w14:textId="77777777" w:rsidR="00161F12" w:rsidRPr="00161F12" w:rsidRDefault="00161F12" w:rsidP="00161F12">
            <w:pPr>
              <w:autoSpaceDE w:val="0"/>
              <w:autoSpaceDN w:val="0"/>
              <w:adjustRightInd w:val="0"/>
              <w:spacing w:line="480" w:lineRule="auto"/>
              <w:rPr>
                <w:sz w:val="24"/>
                <w:szCs w:val="24"/>
                <w:lang w:val="es-MX"/>
              </w:rPr>
            </w:pPr>
          </w:p>
        </w:tc>
        <w:tc>
          <w:tcPr>
            <w:tcW w:w="1114" w:type="dxa"/>
            <w:tcBorders>
              <w:top w:val="single" w:sz="8" w:space="0" w:color="AEAEAE"/>
              <w:left w:val="single" w:sz="8" w:space="0" w:color="000000"/>
              <w:bottom w:val="single" w:sz="8" w:space="0" w:color="AEAEAE"/>
              <w:right w:val="single" w:sz="8" w:space="0" w:color="000000"/>
            </w:tcBorders>
            <w:shd w:val="clear" w:color="auto" w:fill="FFFFFF"/>
            <w:vAlign w:val="center"/>
          </w:tcPr>
          <w:p w14:paraId="2A409A2B" w14:textId="77777777" w:rsidR="00161F12" w:rsidRPr="00161F12" w:rsidRDefault="00161F12" w:rsidP="00161F12">
            <w:pPr>
              <w:autoSpaceDE w:val="0"/>
              <w:autoSpaceDN w:val="0"/>
              <w:adjustRightInd w:val="0"/>
              <w:spacing w:line="480" w:lineRule="auto"/>
              <w:rPr>
                <w:sz w:val="24"/>
                <w:szCs w:val="24"/>
                <w:lang w:val="es-MX"/>
              </w:rPr>
            </w:pPr>
          </w:p>
        </w:tc>
        <w:tc>
          <w:tcPr>
            <w:tcW w:w="913" w:type="dxa"/>
            <w:tcBorders>
              <w:top w:val="single" w:sz="8" w:space="0" w:color="AEAEAE"/>
              <w:left w:val="single" w:sz="8" w:space="0" w:color="000000"/>
              <w:bottom w:val="single" w:sz="8" w:space="0" w:color="AEAEAE"/>
              <w:right w:val="single" w:sz="8" w:space="0" w:color="000000"/>
            </w:tcBorders>
            <w:shd w:val="clear" w:color="auto" w:fill="FFFFFF"/>
          </w:tcPr>
          <w:p w14:paraId="0B673D9D" w14:textId="77777777" w:rsidR="00161F12" w:rsidRPr="00161F12" w:rsidRDefault="00161F12" w:rsidP="00161F12">
            <w:pPr>
              <w:autoSpaceDE w:val="0"/>
              <w:autoSpaceDN w:val="0"/>
              <w:adjustRightInd w:val="0"/>
              <w:spacing w:line="480" w:lineRule="auto"/>
              <w:ind w:left="60" w:right="60"/>
              <w:jc w:val="right"/>
              <w:rPr>
                <w:color w:val="000000"/>
                <w:sz w:val="24"/>
                <w:szCs w:val="24"/>
                <w:lang w:val="es-MX"/>
              </w:rPr>
            </w:pPr>
            <w:r w:rsidRPr="00161F12">
              <w:rPr>
                <w:color w:val="000000"/>
                <w:sz w:val="24"/>
                <w:szCs w:val="24"/>
                <w:lang w:val="es-MX"/>
              </w:rPr>
              <w:t>87</w:t>
            </w:r>
          </w:p>
        </w:tc>
        <w:tc>
          <w:tcPr>
            <w:tcW w:w="1315" w:type="dxa"/>
            <w:tcBorders>
              <w:top w:val="single" w:sz="8" w:space="0" w:color="AEAEAE"/>
              <w:left w:val="single" w:sz="8" w:space="0" w:color="000000"/>
              <w:bottom w:val="single" w:sz="8" w:space="0" w:color="AEAEAE"/>
              <w:right w:val="single" w:sz="16" w:space="0" w:color="000000"/>
            </w:tcBorders>
            <w:shd w:val="clear" w:color="auto" w:fill="FFFFFF"/>
          </w:tcPr>
          <w:p w14:paraId="12B36949" w14:textId="77777777" w:rsidR="00161F12" w:rsidRPr="00161F12" w:rsidRDefault="00161F12" w:rsidP="00161F12">
            <w:pPr>
              <w:autoSpaceDE w:val="0"/>
              <w:autoSpaceDN w:val="0"/>
              <w:adjustRightInd w:val="0"/>
              <w:spacing w:line="480" w:lineRule="auto"/>
              <w:ind w:left="60" w:right="60"/>
              <w:jc w:val="right"/>
              <w:rPr>
                <w:color w:val="000000"/>
                <w:sz w:val="24"/>
                <w:szCs w:val="24"/>
                <w:lang w:val="es-MX"/>
              </w:rPr>
            </w:pPr>
            <w:r w:rsidRPr="00161F12">
              <w:rPr>
                <w:color w:val="000000"/>
                <w:sz w:val="24"/>
                <w:szCs w:val="24"/>
                <w:lang w:val="es-MX"/>
              </w:rPr>
              <w:t>44.6%</w:t>
            </w:r>
          </w:p>
        </w:tc>
      </w:tr>
      <w:tr w:rsidR="00161F12" w:rsidRPr="00161F12" w14:paraId="2ECC513C" w14:textId="77777777" w:rsidTr="00161F12">
        <w:trPr>
          <w:cantSplit/>
          <w:trHeight w:val="136"/>
        </w:trPr>
        <w:tc>
          <w:tcPr>
            <w:tcW w:w="2029" w:type="dxa"/>
            <w:vMerge/>
            <w:tcBorders>
              <w:top w:val="single" w:sz="8" w:space="0" w:color="AEAEAE"/>
              <w:left w:val="single" w:sz="16" w:space="0" w:color="000000"/>
              <w:bottom w:val="single" w:sz="16" w:space="0" w:color="000000"/>
              <w:right w:val="nil"/>
            </w:tcBorders>
            <w:shd w:val="clear" w:color="auto" w:fill="FFFFFF"/>
          </w:tcPr>
          <w:p w14:paraId="6E103F4F" w14:textId="77777777" w:rsidR="00161F12" w:rsidRPr="00161F12" w:rsidRDefault="00161F12" w:rsidP="00161F12">
            <w:pPr>
              <w:autoSpaceDE w:val="0"/>
              <w:autoSpaceDN w:val="0"/>
              <w:adjustRightInd w:val="0"/>
              <w:spacing w:line="480" w:lineRule="auto"/>
              <w:rPr>
                <w:color w:val="000000"/>
                <w:sz w:val="24"/>
                <w:szCs w:val="24"/>
                <w:lang w:val="es-MX"/>
              </w:rPr>
            </w:pPr>
          </w:p>
        </w:tc>
        <w:tc>
          <w:tcPr>
            <w:tcW w:w="2203" w:type="dxa"/>
            <w:tcBorders>
              <w:top w:val="single" w:sz="8" w:space="0" w:color="AEAEAE"/>
              <w:left w:val="nil"/>
              <w:bottom w:val="single" w:sz="8" w:space="0" w:color="AEAEAE"/>
              <w:right w:val="single" w:sz="16" w:space="0" w:color="000000"/>
            </w:tcBorders>
            <w:shd w:val="clear" w:color="auto" w:fill="FFFFFF"/>
          </w:tcPr>
          <w:p w14:paraId="0059A4C7" w14:textId="77777777" w:rsidR="00161F12" w:rsidRPr="00161F12" w:rsidRDefault="00161F12" w:rsidP="00161F12">
            <w:pPr>
              <w:autoSpaceDE w:val="0"/>
              <w:autoSpaceDN w:val="0"/>
              <w:adjustRightInd w:val="0"/>
              <w:spacing w:line="480" w:lineRule="auto"/>
              <w:ind w:left="60" w:right="60"/>
              <w:rPr>
                <w:color w:val="000000"/>
                <w:sz w:val="24"/>
                <w:szCs w:val="24"/>
                <w:lang w:val="es-MX"/>
              </w:rPr>
            </w:pPr>
            <w:r w:rsidRPr="00161F12">
              <w:rPr>
                <w:color w:val="000000"/>
                <w:sz w:val="24"/>
                <w:szCs w:val="24"/>
                <w:lang w:val="es-MX"/>
              </w:rPr>
              <w:t>ISUP 4 - GS 8 (4+4, 3+5, 5+3)</w:t>
            </w:r>
          </w:p>
        </w:tc>
        <w:tc>
          <w:tcPr>
            <w:tcW w:w="913" w:type="dxa"/>
            <w:tcBorders>
              <w:top w:val="single" w:sz="8" w:space="0" w:color="AEAEAE"/>
              <w:left w:val="single" w:sz="16" w:space="0" w:color="000000"/>
              <w:bottom w:val="single" w:sz="8" w:space="0" w:color="AEAEAE"/>
              <w:right w:val="single" w:sz="8" w:space="0" w:color="000000"/>
            </w:tcBorders>
            <w:shd w:val="clear" w:color="auto" w:fill="FFFFFF"/>
            <w:vAlign w:val="center"/>
          </w:tcPr>
          <w:p w14:paraId="0A130923" w14:textId="77777777" w:rsidR="00161F12" w:rsidRPr="00161F12" w:rsidRDefault="00161F12" w:rsidP="00161F12">
            <w:pPr>
              <w:autoSpaceDE w:val="0"/>
              <w:autoSpaceDN w:val="0"/>
              <w:adjustRightInd w:val="0"/>
              <w:spacing w:line="480" w:lineRule="auto"/>
              <w:rPr>
                <w:sz w:val="24"/>
                <w:szCs w:val="24"/>
                <w:lang w:val="es-MX"/>
              </w:rPr>
            </w:pPr>
          </w:p>
        </w:tc>
        <w:tc>
          <w:tcPr>
            <w:tcW w:w="1114" w:type="dxa"/>
            <w:tcBorders>
              <w:top w:val="single" w:sz="8" w:space="0" w:color="AEAEAE"/>
              <w:left w:val="single" w:sz="8" w:space="0" w:color="000000"/>
              <w:bottom w:val="single" w:sz="8" w:space="0" w:color="AEAEAE"/>
              <w:right w:val="single" w:sz="8" w:space="0" w:color="000000"/>
            </w:tcBorders>
            <w:shd w:val="clear" w:color="auto" w:fill="FFFFFF"/>
            <w:vAlign w:val="center"/>
          </w:tcPr>
          <w:p w14:paraId="175248F4" w14:textId="77777777" w:rsidR="00161F12" w:rsidRPr="00161F12" w:rsidRDefault="00161F12" w:rsidP="00161F12">
            <w:pPr>
              <w:autoSpaceDE w:val="0"/>
              <w:autoSpaceDN w:val="0"/>
              <w:adjustRightInd w:val="0"/>
              <w:spacing w:line="480" w:lineRule="auto"/>
              <w:rPr>
                <w:sz w:val="24"/>
                <w:szCs w:val="24"/>
                <w:lang w:val="es-MX"/>
              </w:rPr>
            </w:pPr>
          </w:p>
        </w:tc>
        <w:tc>
          <w:tcPr>
            <w:tcW w:w="1114" w:type="dxa"/>
            <w:tcBorders>
              <w:top w:val="single" w:sz="8" w:space="0" w:color="AEAEAE"/>
              <w:left w:val="single" w:sz="8" w:space="0" w:color="000000"/>
              <w:bottom w:val="single" w:sz="8" w:space="0" w:color="AEAEAE"/>
              <w:right w:val="single" w:sz="8" w:space="0" w:color="000000"/>
            </w:tcBorders>
            <w:shd w:val="clear" w:color="auto" w:fill="FFFFFF"/>
            <w:vAlign w:val="center"/>
          </w:tcPr>
          <w:p w14:paraId="4AC57433" w14:textId="77777777" w:rsidR="00161F12" w:rsidRPr="00161F12" w:rsidRDefault="00161F12" w:rsidP="00161F12">
            <w:pPr>
              <w:autoSpaceDE w:val="0"/>
              <w:autoSpaceDN w:val="0"/>
              <w:adjustRightInd w:val="0"/>
              <w:spacing w:line="480" w:lineRule="auto"/>
              <w:rPr>
                <w:sz w:val="24"/>
                <w:szCs w:val="24"/>
                <w:lang w:val="es-MX"/>
              </w:rPr>
            </w:pPr>
          </w:p>
        </w:tc>
        <w:tc>
          <w:tcPr>
            <w:tcW w:w="913" w:type="dxa"/>
            <w:tcBorders>
              <w:top w:val="single" w:sz="8" w:space="0" w:color="AEAEAE"/>
              <w:left w:val="single" w:sz="8" w:space="0" w:color="000000"/>
              <w:bottom w:val="single" w:sz="8" w:space="0" w:color="AEAEAE"/>
              <w:right w:val="single" w:sz="8" w:space="0" w:color="000000"/>
            </w:tcBorders>
            <w:shd w:val="clear" w:color="auto" w:fill="FFFFFF"/>
          </w:tcPr>
          <w:p w14:paraId="1407A2A2" w14:textId="77777777" w:rsidR="00161F12" w:rsidRPr="00161F12" w:rsidRDefault="00161F12" w:rsidP="00161F12">
            <w:pPr>
              <w:autoSpaceDE w:val="0"/>
              <w:autoSpaceDN w:val="0"/>
              <w:adjustRightInd w:val="0"/>
              <w:spacing w:line="480" w:lineRule="auto"/>
              <w:ind w:left="60" w:right="60"/>
              <w:jc w:val="right"/>
              <w:rPr>
                <w:color w:val="000000"/>
                <w:sz w:val="24"/>
                <w:szCs w:val="24"/>
                <w:lang w:val="es-MX"/>
              </w:rPr>
            </w:pPr>
            <w:r w:rsidRPr="00161F12">
              <w:rPr>
                <w:color w:val="000000"/>
                <w:sz w:val="24"/>
                <w:szCs w:val="24"/>
                <w:lang w:val="es-MX"/>
              </w:rPr>
              <w:t>18</w:t>
            </w:r>
          </w:p>
        </w:tc>
        <w:tc>
          <w:tcPr>
            <w:tcW w:w="1315" w:type="dxa"/>
            <w:tcBorders>
              <w:top w:val="single" w:sz="8" w:space="0" w:color="AEAEAE"/>
              <w:left w:val="single" w:sz="8" w:space="0" w:color="000000"/>
              <w:bottom w:val="single" w:sz="8" w:space="0" w:color="AEAEAE"/>
              <w:right w:val="single" w:sz="16" w:space="0" w:color="000000"/>
            </w:tcBorders>
            <w:shd w:val="clear" w:color="auto" w:fill="FFFFFF"/>
          </w:tcPr>
          <w:p w14:paraId="03F6D169" w14:textId="77777777" w:rsidR="00161F12" w:rsidRPr="00161F12" w:rsidRDefault="00161F12" w:rsidP="00161F12">
            <w:pPr>
              <w:autoSpaceDE w:val="0"/>
              <w:autoSpaceDN w:val="0"/>
              <w:adjustRightInd w:val="0"/>
              <w:spacing w:line="480" w:lineRule="auto"/>
              <w:ind w:left="60" w:right="60"/>
              <w:jc w:val="right"/>
              <w:rPr>
                <w:color w:val="000000"/>
                <w:sz w:val="24"/>
                <w:szCs w:val="24"/>
                <w:lang w:val="es-MX"/>
              </w:rPr>
            </w:pPr>
            <w:r w:rsidRPr="00161F12">
              <w:rPr>
                <w:color w:val="000000"/>
                <w:sz w:val="24"/>
                <w:szCs w:val="24"/>
                <w:lang w:val="es-MX"/>
              </w:rPr>
              <w:t>9.2%</w:t>
            </w:r>
          </w:p>
        </w:tc>
      </w:tr>
      <w:tr w:rsidR="00161F12" w:rsidRPr="00161F12" w14:paraId="103BFE0F" w14:textId="77777777" w:rsidTr="00161F12">
        <w:trPr>
          <w:cantSplit/>
          <w:trHeight w:val="136"/>
        </w:trPr>
        <w:tc>
          <w:tcPr>
            <w:tcW w:w="2029" w:type="dxa"/>
            <w:vMerge/>
            <w:tcBorders>
              <w:top w:val="single" w:sz="8" w:space="0" w:color="AEAEAE"/>
              <w:left w:val="single" w:sz="16" w:space="0" w:color="000000"/>
              <w:bottom w:val="single" w:sz="16" w:space="0" w:color="000000"/>
              <w:right w:val="nil"/>
            </w:tcBorders>
            <w:shd w:val="clear" w:color="auto" w:fill="FFFFFF"/>
          </w:tcPr>
          <w:p w14:paraId="6F552517" w14:textId="77777777" w:rsidR="00161F12" w:rsidRPr="00161F12" w:rsidRDefault="00161F12" w:rsidP="00161F12">
            <w:pPr>
              <w:autoSpaceDE w:val="0"/>
              <w:autoSpaceDN w:val="0"/>
              <w:adjustRightInd w:val="0"/>
              <w:spacing w:line="480" w:lineRule="auto"/>
              <w:rPr>
                <w:color w:val="000000"/>
                <w:sz w:val="24"/>
                <w:szCs w:val="24"/>
                <w:lang w:val="es-MX"/>
              </w:rPr>
            </w:pPr>
          </w:p>
        </w:tc>
        <w:tc>
          <w:tcPr>
            <w:tcW w:w="2203" w:type="dxa"/>
            <w:tcBorders>
              <w:top w:val="single" w:sz="8" w:space="0" w:color="AEAEAE"/>
              <w:left w:val="nil"/>
              <w:bottom w:val="single" w:sz="8" w:space="0" w:color="AEAEAE"/>
              <w:right w:val="single" w:sz="16" w:space="0" w:color="000000"/>
            </w:tcBorders>
            <w:shd w:val="clear" w:color="auto" w:fill="FFFFFF"/>
          </w:tcPr>
          <w:p w14:paraId="307CC956" w14:textId="77777777" w:rsidR="00161F12" w:rsidRPr="00161F12" w:rsidRDefault="00161F12" w:rsidP="00161F12">
            <w:pPr>
              <w:autoSpaceDE w:val="0"/>
              <w:autoSpaceDN w:val="0"/>
              <w:adjustRightInd w:val="0"/>
              <w:spacing w:line="480" w:lineRule="auto"/>
              <w:ind w:left="60" w:right="60"/>
              <w:rPr>
                <w:color w:val="000000"/>
                <w:sz w:val="24"/>
                <w:szCs w:val="24"/>
                <w:lang w:val="es-MX"/>
              </w:rPr>
            </w:pPr>
            <w:r w:rsidRPr="00161F12">
              <w:rPr>
                <w:color w:val="000000"/>
                <w:sz w:val="24"/>
                <w:szCs w:val="24"/>
                <w:lang w:val="es-MX"/>
              </w:rPr>
              <w:t>ISUP 5 - GS 9-10  (4+5, 5+4, 5+5)</w:t>
            </w:r>
          </w:p>
        </w:tc>
        <w:tc>
          <w:tcPr>
            <w:tcW w:w="913" w:type="dxa"/>
            <w:tcBorders>
              <w:top w:val="single" w:sz="8" w:space="0" w:color="AEAEAE"/>
              <w:left w:val="single" w:sz="16" w:space="0" w:color="000000"/>
              <w:bottom w:val="single" w:sz="8" w:space="0" w:color="AEAEAE"/>
              <w:right w:val="single" w:sz="8" w:space="0" w:color="000000"/>
            </w:tcBorders>
            <w:shd w:val="clear" w:color="auto" w:fill="FFFFFF"/>
            <w:vAlign w:val="center"/>
          </w:tcPr>
          <w:p w14:paraId="3E44A3F6" w14:textId="77777777" w:rsidR="00161F12" w:rsidRPr="00161F12" w:rsidRDefault="00161F12" w:rsidP="00161F12">
            <w:pPr>
              <w:autoSpaceDE w:val="0"/>
              <w:autoSpaceDN w:val="0"/>
              <w:adjustRightInd w:val="0"/>
              <w:spacing w:line="480" w:lineRule="auto"/>
              <w:rPr>
                <w:sz w:val="24"/>
                <w:szCs w:val="24"/>
                <w:lang w:val="es-MX"/>
              </w:rPr>
            </w:pPr>
          </w:p>
        </w:tc>
        <w:tc>
          <w:tcPr>
            <w:tcW w:w="1114" w:type="dxa"/>
            <w:tcBorders>
              <w:top w:val="single" w:sz="8" w:space="0" w:color="AEAEAE"/>
              <w:left w:val="single" w:sz="8" w:space="0" w:color="000000"/>
              <w:bottom w:val="single" w:sz="8" w:space="0" w:color="AEAEAE"/>
              <w:right w:val="single" w:sz="8" w:space="0" w:color="000000"/>
            </w:tcBorders>
            <w:shd w:val="clear" w:color="auto" w:fill="FFFFFF"/>
            <w:vAlign w:val="center"/>
          </w:tcPr>
          <w:p w14:paraId="6A52E54A" w14:textId="77777777" w:rsidR="00161F12" w:rsidRPr="00161F12" w:rsidRDefault="00161F12" w:rsidP="00161F12">
            <w:pPr>
              <w:autoSpaceDE w:val="0"/>
              <w:autoSpaceDN w:val="0"/>
              <w:adjustRightInd w:val="0"/>
              <w:spacing w:line="480" w:lineRule="auto"/>
              <w:rPr>
                <w:sz w:val="24"/>
                <w:szCs w:val="24"/>
                <w:lang w:val="es-MX"/>
              </w:rPr>
            </w:pPr>
          </w:p>
        </w:tc>
        <w:tc>
          <w:tcPr>
            <w:tcW w:w="1114" w:type="dxa"/>
            <w:tcBorders>
              <w:top w:val="single" w:sz="8" w:space="0" w:color="AEAEAE"/>
              <w:left w:val="single" w:sz="8" w:space="0" w:color="000000"/>
              <w:bottom w:val="single" w:sz="8" w:space="0" w:color="AEAEAE"/>
              <w:right w:val="single" w:sz="8" w:space="0" w:color="000000"/>
            </w:tcBorders>
            <w:shd w:val="clear" w:color="auto" w:fill="FFFFFF"/>
            <w:vAlign w:val="center"/>
          </w:tcPr>
          <w:p w14:paraId="09332852" w14:textId="77777777" w:rsidR="00161F12" w:rsidRPr="00161F12" w:rsidRDefault="00161F12" w:rsidP="00161F12">
            <w:pPr>
              <w:autoSpaceDE w:val="0"/>
              <w:autoSpaceDN w:val="0"/>
              <w:adjustRightInd w:val="0"/>
              <w:spacing w:line="480" w:lineRule="auto"/>
              <w:rPr>
                <w:sz w:val="24"/>
                <w:szCs w:val="24"/>
                <w:lang w:val="es-MX"/>
              </w:rPr>
            </w:pPr>
          </w:p>
        </w:tc>
        <w:tc>
          <w:tcPr>
            <w:tcW w:w="913" w:type="dxa"/>
            <w:tcBorders>
              <w:top w:val="single" w:sz="8" w:space="0" w:color="AEAEAE"/>
              <w:left w:val="single" w:sz="8" w:space="0" w:color="000000"/>
              <w:bottom w:val="single" w:sz="8" w:space="0" w:color="AEAEAE"/>
              <w:right w:val="single" w:sz="8" w:space="0" w:color="000000"/>
            </w:tcBorders>
            <w:shd w:val="clear" w:color="auto" w:fill="FFFFFF"/>
          </w:tcPr>
          <w:p w14:paraId="0A9E7C80" w14:textId="77777777" w:rsidR="00161F12" w:rsidRPr="00161F12" w:rsidRDefault="00161F12" w:rsidP="00161F12">
            <w:pPr>
              <w:autoSpaceDE w:val="0"/>
              <w:autoSpaceDN w:val="0"/>
              <w:adjustRightInd w:val="0"/>
              <w:spacing w:line="480" w:lineRule="auto"/>
              <w:ind w:left="60" w:right="60"/>
              <w:jc w:val="right"/>
              <w:rPr>
                <w:color w:val="000000"/>
                <w:sz w:val="24"/>
                <w:szCs w:val="24"/>
                <w:lang w:val="es-MX"/>
              </w:rPr>
            </w:pPr>
            <w:r w:rsidRPr="00161F12">
              <w:rPr>
                <w:color w:val="000000"/>
                <w:sz w:val="24"/>
                <w:szCs w:val="24"/>
                <w:lang w:val="es-MX"/>
              </w:rPr>
              <w:t>55</w:t>
            </w:r>
          </w:p>
        </w:tc>
        <w:tc>
          <w:tcPr>
            <w:tcW w:w="1315" w:type="dxa"/>
            <w:tcBorders>
              <w:top w:val="single" w:sz="8" w:space="0" w:color="AEAEAE"/>
              <w:left w:val="single" w:sz="8" w:space="0" w:color="000000"/>
              <w:bottom w:val="single" w:sz="8" w:space="0" w:color="AEAEAE"/>
              <w:right w:val="single" w:sz="16" w:space="0" w:color="000000"/>
            </w:tcBorders>
            <w:shd w:val="clear" w:color="auto" w:fill="FFFFFF"/>
          </w:tcPr>
          <w:p w14:paraId="7D1B0281" w14:textId="77777777" w:rsidR="00161F12" w:rsidRPr="00161F12" w:rsidRDefault="00161F12" w:rsidP="00161F12">
            <w:pPr>
              <w:autoSpaceDE w:val="0"/>
              <w:autoSpaceDN w:val="0"/>
              <w:adjustRightInd w:val="0"/>
              <w:spacing w:line="480" w:lineRule="auto"/>
              <w:ind w:left="60" w:right="60"/>
              <w:jc w:val="right"/>
              <w:rPr>
                <w:color w:val="000000"/>
                <w:sz w:val="24"/>
                <w:szCs w:val="24"/>
                <w:lang w:val="es-MX"/>
              </w:rPr>
            </w:pPr>
            <w:r w:rsidRPr="00161F12">
              <w:rPr>
                <w:color w:val="000000"/>
                <w:sz w:val="24"/>
                <w:szCs w:val="24"/>
                <w:lang w:val="es-MX"/>
              </w:rPr>
              <w:t>28.2%</w:t>
            </w:r>
          </w:p>
        </w:tc>
      </w:tr>
      <w:tr w:rsidR="00161F12" w:rsidRPr="00161F12" w14:paraId="020FD203" w14:textId="77777777" w:rsidTr="00161F12">
        <w:trPr>
          <w:cantSplit/>
          <w:trHeight w:val="136"/>
        </w:trPr>
        <w:tc>
          <w:tcPr>
            <w:tcW w:w="2029" w:type="dxa"/>
            <w:vMerge/>
            <w:tcBorders>
              <w:top w:val="single" w:sz="8" w:space="0" w:color="AEAEAE"/>
              <w:left w:val="single" w:sz="16" w:space="0" w:color="000000"/>
              <w:bottom w:val="single" w:sz="8" w:space="0" w:color="AEAEAE"/>
              <w:right w:val="nil"/>
            </w:tcBorders>
            <w:shd w:val="clear" w:color="auto" w:fill="FFFFFF"/>
          </w:tcPr>
          <w:p w14:paraId="688E4E34" w14:textId="77777777" w:rsidR="00161F12" w:rsidRPr="00161F12" w:rsidRDefault="00161F12" w:rsidP="00161F12">
            <w:pPr>
              <w:autoSpaceDE w:val="0"/>
              <w:autoSpaceDN w:val="0"/>
              <w:adjustRightInd w:val="0"/>
              <w:spacing w:line="480" w:lineRule="auto"/>
              <w:rPr>
                <w:color w:val="000000"/>
                <w:sz w:val="24"/>
                <w:szCs w:val="24"/>
                <w:lang w:val="es-MX"/>
              </w:rPr>
            </w:pPr>
          </w:p>
        </w:tc>
        <w:tc>
          <w:tcPr>
            <w:tcW w:w="2203" w:type="dxa"/>
            <w:tcBorders>
              <w:top w:val="single" w:sz="8" w:space="0" w:color="AEAEAE"/>
              <w:left w:val="nil"/>
              <w:bottom w:val="single" w:sz="8" w:space="0" w:color="AEAEAE"/>
              <w:right w:val="single" w:sz="16" w:space="0" w:color="000000"/>
            </w:tcBorders>
            <w:shd w:val="clear" w:color="auto" w:fill="FFFFFF"/>
          </w:tcPr>
          <w:p w14:paraId="365B090B" w14:textId="77777777" w:rsidR="00161F12" w:rsidRPr="00161F12" w:rsidRDefault="00161F12" w:rsidP="00161F12">
            <w:pPr>
              <w:autoSpaceDE w:val="0"/>
              <w:autoSpaceDN w:val="0"/>
              <w:adjustRightInd w:val="0"/>
              <w:spacing w:line="480" w:lineRule="auto"/>
              <w:ind w:left="60" w:right="60"/>
              <w:rPr>
                <w:color w:val="000000"/>
                <w:sz w:val="24"/>
                <w:szCs w:val="24"/>
                <w:lang w:val="es-MX"/>
              </w:rPr>
            </w:pPr>
            <w:r w:rsidRPr="00161F12">
              <w:rPr>
                <w:color w:val="000000"/>
                <w:sz w:val="24"/>
                <w:szCs w:val="24"/>
                <w:lang w:val="es-MX"/>
              </w:rPr>
              <w:t>No hay cancer</w:t>
            </w:r>
          </w:p>
        </w:tc>
        <w:tc>
          <w:tcPr>
            <w:tcW w:w="913" w:type="dxa"/>
            <w:tcBorders>
              <w:top w:val="single" w:sz="8" w:space="0" w:color="AEAEAE"/>
              <w:left w:val="single" w:sz="16" w:space="0" w:color="000000"/>
              <w:bottom w:val="single" w:sz="8" w:space="0" w:color="AEAEAE"/>
              <w:right w:val="single" w:sz="8" w:space="0" w:color="000000"/>
            </w:tcBorders>
            <w:shd w:val="clear" w:color="auto" w:fill="FFFFFF"/>
            <w:vAlign w:val="center"/>
          </w:tcPr>
          <w:p w14:paraId="5D76B0E7" w14:textId="77777777" w:rsidR="00161F12" w:rsidRPr="00161F12" w:rsidRDefault="00161F12" w:rsidP="00161F12">
            <w:pPr>
              <w:autoSpaceDE w:val="0"/>
              <w:autoSpaceDN w:val="0"/>
              <w:adjustRightInd w:val="0"/>
              <w:spacing w:line="480" w:lineRule="auto"/>
              <w:rPr>
                <w:sz w:val="24"/>
                <w:szCs w:val="24"/>
                <w:lang w:val="es-MX"/>
              </w:rPr>
            </w:pPr>
          </w:p>
        </w:tc>
        <w:tc>
          <w:tcPr>
            <w:tcW w:w="1114" w:type="dxa"/>
            <w:tcBorders>
              <w:top w:val="single" w:sz="8" w:space="0" w:color="AEAEAE"/>
              <w:left w:val="single" w:sz="8" w:space="0" w:color="000000"/>
              <w:bottom w:val="single" w:sz="8" w:space="0" w:color="AEAEAE"/>
              <w:right w:val="single" w:sz="8" w:space="0" w:color="000000"/>
            </w:tcBorders>
            <w:shd w:val="clear" w:color="auto" w:fill="FFFFFF"/>
            <w:vAlign w:val="center"/>
          </w:tcPr>
          <w:p w14:paraId="2D6D79D1" w14:textId="77777777" w:rsidR="00161F12" w:rsidRPr="00161F12" w:rsidRDefault="00161F12" w:rsidP="00161F12">
            <w:pPr>
              <w:autoSpaceDE w:val="0"/>
              <w:autoSpaceDN w:val="0"/>
              <w:adjustRightInd w:val="0"/>
              <w:spacing w:line="480" w:lineRule="auto"/>
              <w:rPr>
                <w:sz w:val="24"/>
                <w:szCs w:val="24"/>
                <w:lang w:val="es-MX"/>
              </w:rPr>
            </w:pPr>
          </w:p>
        </w:tc>
        <w:tc>
          <w:tcPr>
            <w:tcW w:w="1114" w:type="dxa"/>
            <w:tcBorders>
              <w:top w:val="single" w:sz="8" w:space="0" w:color="AEAEAE"/>
              <w:left w:val="single" w:sz="8" w:space="0" w:color="000000"/>
              <w:bottom w:val="single" w:sz="8" w:space="0" w:color="AEAEAE"/>
              <w:right w:val="single" w:sz="8" w:space="0" w:color="000000"/>
            </w:tcBorders>
            <w:shd w:val="clear" w:color="auto" w:fill="FFFFFF"/>
            <w:vAlign w:val="center"/>
          </w:tcPr>
          <w:p w14:paraId="5BE70FFB" w14:textId="77777777" w:rsidR="00161F12" w:rsidRPr="00161F12" w:rsidRDefault="00161F12" w:rsidP="00161F12">
            <w:pPr>
              <w:autoSpaceDE w:val="0"/>
              <w:autoSpaceDN w:val="0"/>
              <w:adjustRightInd w:val="0"/>
              <w:spacing w:line="480" w:lineRule="auto"/>
              <w:rPr>
                <w:sz w:val="24"/>
                <w:szCs w:val="24"/>
                <w:lang w:val="es-MX"/>
              </w:rPr>
            </w:pPr>
          </w:p>
        </w:tc>
        <w:tc>
          <w:tcPr>
            <w:tcW w:w="913" w:type="dxa"/>
            <w:tcBorders>
              <w:top w:val="single" w:sz="8" w:space="0" w:color="AEAEAE"/>
              <w:left w:val="single" w:sz="8" w:space="0" w:color="000000"/>
              <w:bottom w:val="single" w:sz="8" w:space="0" w:color="AEAEAE"/>
              <w:right w:val="single" w:sz="8" w:space="0" w:color="000000"/>
            </w:tcBorders>
            <w:shd w:val="clear" w:color="auto" w:fill="FFFFFF"/>
          </w:tcPr>
          <w:p w14:paraId="4A5CEDD8" w14:textId="77777777" w:rsidR="00161F12" w:rsidRPr="00161F12" w:rsidRDefault="00161F12" w:rsidP="00161F12">
            <w:pPr>
              <w:autoSpaceDE w:val="0"/>
              <w:autoSpaceDN w:val="0"/>
              <w:adjustRightInd w:val="0"/>
              <w:spacing w:line="480" w:lineRule="auto"/>
              <w:ind w:left="60" w:right="60"/>
              <w:jc w:val="right"/>
              <w:rPr>
                <w:color w:val="000000"/>
                <w:sz w:val="24"/>
                <w:szCs w:val="24"/>
                <w:lang w:val="es-MX"/>
              </w:rPr>
            </w:pPr>
            <w:r w:rsidRPr="00161F12">
              <w:rPr>
                <w:color w:val="000000"/>
                <w:sz w:val="24"/>
                <w:szCs w:val="24"/>
                <w:lang w:val="es-MX"/>
              </w:rPr>
              <w:t>5</w:t>
            </w:r>
          </w:p>
        </w:tc>
        <w:tc>
          <w:tcPr>
            <w:tcW w:w="1315" w:type="dxa"/>
            <w:tcBorders>
              <w:top w:val="single" w:sz="8" w:space="0" w:color="AEAEAE"/>
              <w:left w:val="single" w:sz="8" w:space="0" w:color="000000"/>
              <w:bottom w:val="single" w:sz="8" w:space="0" w:color="AEAEAE"/>
              <w:right w:val="single" w:sz="16" w:space="0" w:color="000000"/>
            </w:tcBorders>
            <w:shd w:val="clear" w:color="auto" w:fill="FFFFFF"/>
          </w:tcPr>
          <w:p w14:paraId="6A1D5341" w14:textId="77777777" w:rsidR="00161F12" w:rsidRPr="00161F12" w:rsidRDefault="00161F12" w:rsidP="00161F12">
            <w:pPr>
              <w:autoSpaceDE w:val="0"/>
              <w:autoSpaceDN w:val="0"/>
              <w:adjustRightInd w:val="0"/>
              <w:spacing w:line="480" w:lineRule="auto"/>
              <w:ind w:left="60" w:right="60"/>
              <w:jc w:val="right"/>
              <w:rPr>
                <w:color w:val="000000"/>
                <w:sz w:val="24"/>
                <w:szCs w:val="24"/>
                <w:lang w:val="es-MX"/>
              </w:rPr>
            </w:pPr>
            <w:r w:rsidRPr="00161F12">
              <w:rPr>
                <w:color w:val="000000"/>
                <w:sz w:val="24"/>
                <w:szCs w:val="24"/>
                <w:lang w:val="es-MX"/>
              </w:rPr>
              <w:t>2.6%</w:t>
            </w:r>
          </w:p>
        </w:tc>
      </w:tr>
      <w:tr w:rsidR="00161F12" w:rsidRPr="00161F12" w14:paraId="03528238" w14:textId="77777777" w:rsidTr="00161F12">
        <w:trPr>
          <w:cantSplit/>
          <w:trHeight w:val="603"/>
        </w:trPr>
        <w:tc>
          <w:tcPr>
            <w:tcW w:w="2029" w:type="dxa"/>
            <w:tcBorders>
              <w:top w:val="single" w:sz="8" w:space="0" w:color="AEAEAE"/>
              <w:left w:val="single" w:sz="16" w:space="0" w:color="000000"/>
              <w:bottom w:val="single" w:sz="8" w:space="0" w:color="AEAEAE"/>
              <w:right w:val="nil"/>
            </w:tcBorders>
            <w:shd w:val="clear" w:color="auto" w:fill="FFFFFF"/>
          </w:tcPr>
          <w:p w14:paraId="33F8780F" w14:textId="77777777" w:rsidR="00161F12" w:rsidRPr="00161F12" w:rsidRDefault="00161F12" w:rsidP="00161F12">
            <w:pPr>
              <w:autoSpaceDE w:val="0"/>
              <w:autoSpaceDN w:val="0"/>
              <w:adjustRightInd w:val="0"/>
              <w:spacing w:line="480" w:lineRule="auto"/>
              <w:rPr>
                <w:color w:val="000000"/>
                <w:sz w:val="24"/>
                <w:szCs w:val="24"/>
                <w:lang w:val="es-MX"/>
              </w:rPr>
            </w:pPr>
            <w:r w:rsidRPr="00161F12">
              <w:rPr>
                <w:color w:val="000000"/>
                <w:sz w:val="24"/>
                <w:szCs w:val="24"/>
                <w:lang w:val="es-MX"/>
              </w:rPr>
              <w:lastRenderedPageBreak/>
              <w:t>pN</w:t>
            </w:r>
          </w:p>
        </w:tc>
        <w:tc>
          <w:tcPr>
            <w:tcW w:w="2203" w:type="dxa"/>
            <w:tcBorders>
              <w:top w:val="single" w:sz="8" w:space="0" w:color="AEAEAE"/>
              <w:left w:val="nil"/>
              <w:bottom w:val="single" w:sz="8" w:space="0" w:color="AEAEAE"/>
              <w:right w:val="single" w:sz="16" w:space="0" w:color="000000"/>
            </w:tcBorders>
            <w:shd w:val="clear" w:color="auto" w:fill="FFFFFF"/>
          </w:tcPr>
          <w:p w14:paraId="5E22AF6A" w14:textId="77777777" w:rsidR="00161F12" w:rsidRPr="00161F12" w:rsidRDefault="00161F12" w:rsidP="00161F12">
            <w:pPr>
              <w:autoSpaceDE w:val="0"/>
              <w:autoSpaceDN w:val="0"/>
              <w:adjustRightInd w:val="0"/>
              <w:spacing w:line="480" w:lineRule="auto"/>
              <w:ind w:left="60" w:right="60"/>
              <w:rPr>
                <w:color w:val="000000"/>
                <w:sz w:val="24"/>
                <w:szCs w:val="24"/>
                <w:lang w:val="es-MX"/>
              </w:rPr>
            </w:pPr>
            <w:r w:rsidRPr="00161F12">
              <w:rPr>
                <w:color w:val="000000"/>
                <w:sz w:val="24"/>
                <w:szCs w:val="24"/>
                <w:lang w:val="es-MX"/>
              </w:rPr>
              <w:t>N0</w:t>
            </w:r>
          </w:p>
          <w:p w14:paraId="73B06FCA" w14:textId="77777777" w:rsidR="00161F12" w:rsidRPr="00161F12" w:rsidRDefault="00161F12" w:rsidP="00161F12">
            <w:pPr>
              <w:autoSpaceDE w:val="0"/>
              <w:autoSpaceDN w:val="0"/>
              <w:adjustRightInd w:val="0"/>
              <w:spacing w:line="480" w:lineRule="auto"/>
              <w:ind w:left="60" w:right="60"/>
              <w:rPr>
                <w:color w:val="000000"/>
                <w:sz w:val="24"/>
                <w:szCs w:val="24"/>
                <w:lang w:val="es-MX"/>
              </w:rPr>
            </w:pPr>
            <w:r w:rsidRPr="00161F12">
              <w:rPr>
                <w:color w:val="000000"/>
                <w:sz w:val="24"/>
                <w:szCs w:val="24"/>
                <w:lang w:val="es-MX"/>
              </w:rPr>
              <w:t>N1</w:t>
            </w:r>
          </w:p>
        </w:tc>
        <w:tc>
          <w:tcPr>
            <w:tcW w:w="913" w:type="dxa"/>
            <w:tcBorders>
              <w:top w:val="single" w:sz="8" w:space="0" w:color="AEAEAE"/>
              <w:left w:val="single" w:sz="16" w:space="0" w:color="000000"/>
              <w:bottom w:val="single" w:sz="8" w:space="0" w:color="AEAEAE"/>
              <w:right w:val="single" w:sz="8" w:space="0" w:color="000000"/>
            </w:tcBorders>
            <w:shd w:val="clear" w:color="auto" w:fill="FFFFFF"/>
            <w:vAlign w:val="center"/>
          </w:tcPr>
          <w:p w14:paraId="52BD8301" w14:textId="77777777" w:rsidR="00161F12" w:rsidRPr="00161F12" w:rsidRDefault="00161F12" w:rsidP="00161F12">
            <w:pPr>
              <w:autoSpaceDE w:val="0"/>
              <w:autoSpaceDN w:val="0"/>
              <w:adjustRightInd w:val="0"/>
              <w:spacing w:line="480" w:lineRule="auto"/>
              <w:rPr>
                <w:sz w:val="24"/>
                <w:szCs w:val="24"/>
                <w:lang w:val="es-MX"/>
              </w:rPr>
            </w:pPr>
          </w:p>
        </w:tc>
        <w:tc>
          <w:tcPr>
            <w:tcW w:w="1114" w:type="dxa"/>
            <w:tcBorders>
              <w:top w:val="single" w:sz="8" w:space="0" w:color="AEAEAE"/>
              <w:left w:val="single" w:sz="8" w:space="0" w:color="000000"/>
              <w:bottom w:val="single" w:sz="8" w:space="0" w:color="AEAEAE"/>
              <w:right w:val="single" w:sz="8" w:space="0" w:color="000000"/>
            </w:tcBorders>
            <w:shd w:val="clear" w:color="auto" w:fill="FFFFFF"/>
            <w:vAlign w:val="center"/>
          </w:tcPr>
          <w:p w14:paraId="4B57A97C" w14:textId="77777777" w:rsidR="00161F12" w:rsidRPr="00161F12" w:rsidRDefault="00161F12" w:rsidP="00161F12">
            <w:pPr>
              <w:autoSpaceDE w:val="0"/>
              <w:autoSpaceDN w:val="0"/>
              <w:adjustRightInd w:val="0"/>
              <w:spacing w:line="480" w:lineRule="auto"/>
              <w:rPr>
                <w:sz w:val="24"/>
                <w:szCs w:val="24"/>
                <w:lang w:val="es-MX"/>
              </w:rPr>
            </w:pPr>
          </w:p>
        </w:tc>
        <w:tc>
          <w:tcPr>
            <w:tcW w:w="1114" w:type="dxa"/>
            <w:tcBorders>
              <w:top w:val="single" w:sz="8" w:space="0" w:color="AEAEAE"/>
              <w:left w:val="single" w:sz="8" w:space="0" w:color="000000"/>
              <w:bottom w:val="single" w:sz="8" w:space="0" w:color="AEAEAE"/>
              <w:right w:val="single" w:sz="8" w:space="0" w:color="000000"/>
            </w:tcBorders>
            <w:shd w:val="clear" w:color="auto" w:fill="FFFFFF"/>
            <w:vAlign w:val="center"/>
          </w:tcPr>
          <w:p w14:paraId="7D0DD801" w14:textId="77777777" w:rsidR="00161F12" w:rsidRPr="00161F12" w:rsidRDefault="00161F12" w:rsidP="00161F12">
            <w:pPr>
              <w:autoSpaceDE w:val="0"/>
              <w:autoSpaceDN w:val="0"/>
              <w:adjustRightInd w:val="0"/>
              <w:spacing w:line="480" w:lineRule="auto"/>
              <w:rPr>
                <w:sz w:val="24"/>
                <w:szCs w:val="24"/>
                <w:lang w:val="es-MX"/>
              </w:rPr>
            </w:pPr>
          </w:p>
        </w:tc>
        <w:tc>
          <w:tcPr>
            <w:tcW w:w="913" w:type="dxa"/>
            <w:tcBorders>
              <w:top w:val="single" w:sz="8" w:space="0" w:color="AEAEAE"/>
              <w:left w:val="single" w:sz="8" w:space="0" w:color="000000"/>
              <w:bottom w:val="single" w:sz="8" w:space="0" w:color="AEAEAE"/>
              <w:right w:val="single" w:sz="8" w:space="0" w:color="000000"/>
            </w:tcBorders>
            <w:shd w:val="clear" w:color="auto" w:fill="FFFFFF"/>
          </w:tcPr>
          <w:p w14:paraId="17249607" w14:textId="6DD3E2D0" w:rsidR="00161F12" w:rsidRPr="00161F12" w:rsidRDefault="00161F12" w:rsidP="00161F12">
            <w:pPr>
              <w:autoSpaceDE w:val="0"/>
              <w:autoSpaceDN w:val="0"/>
              <w:adjustRightInd w:val="0"/>
              <w:spacing w:line="480" w:lineRule="auto"/>
              <w:ind w:left="60" w:right="60"/>
              <w:jc w:val="right"/>
              <w:rPr>
                <w:color w:val="000000"/>
                <w:sz w:val="24"/>
                <w:szCs w:val="24"/>
                <w:lang w:val="es-MX"/>
              </w:rPr>
            </w:pPr>
            <w:r w:rsidRPr="00161F12">
              <w:rPr>
                <w:color w:val="000000"/>
                <w:sz w:val="24"/>
                <w:szCs w:val="24"/>
                <w:lang w:val="es-MX"/>
              </w:rPr>
              <w:t xml:space="preserve">  </w:t>
            </w:r>
            <w:r w:rsidRPr="00161F12">
              <w:rPr>
                <w:color w:val="000000"/>
                <w:sz w:val="24"/>
                <w:szCs w:val="24"/>
                <w:lang w:val="es-MX"/>
              </w:rPr>
              <w:t>140</w:t>
            </w:r>
          </w:p>
          <w:p w14:paraId="719C412A" w14:textId="77777777" w:rsidR="00161F12" w:rsidRPr="00161F12" w:rsidRDefault="00161F12" w:rsidP="00161F12">
            <w:pPr>
              <w:tabs>
                <w:tab w:val="left" w:pos="974"/>
              </w:tabs>
              <w:spacing w:line="480" w:lineRule="auto"/>
              <w:jc w:val="right"/>
              <w:rPr>
                <w:sz w:val="24"/>
                <w:szCs w:val="24"/>
                <w:lang w:val="es-MX"/>
              </w:rPr>
            </w:pPr>
            <w:r w:rsidRPr="00161F12">
              <w:rPr>
                <w:sz w:val="24"/>
                <w:szCs w:val="24"/>
                <w:lang w:val="es-MX"/>
              </w:rPr>
              <w:t xml:space="preserve">         55</w:t>
            </w:r>
            <w:r w:rsidRPr="00161F12">
              <w:rPr>
                <w:sz w:val="24"/>
                <w:szCs w:val="24"/>
                <w:lang w:val="es-MX"/>
              </w:rPr>
              <w:tab/>
            </w:r>
          </w:p>
        </w:tc>
        <w:tc>
          <w:tcPr>
            <w:tcW w:w="1315" w:type="dxa"/>
            <w:tcBorders>
              <w:top w:val="single" w:sz="8" w:space="0" w:color="AEAEAE"/>
              <w:left w:val="single" w:sz="8" w:space="0" w:color="000000"/>
              <w:bottom w:val="single" w:sz="8" w:space="0" w:color="AEAEAE"/>
              <w:right w:val="single" w:sz="16" w:space="0" w:color="000000"/>
            </w:tcBorders>
            <w:shd w:val="clear" w:color="auto" w:fill="FFFFFF"/>
          </w:tcPr>
          <w:p w14:paraId="127CD20F" w14:textId="2F6737FD" w:rsidR="00161F12" w:rsidRPr="00161F12" w:rsidRDefault="00161F12" w:rsidP="00161F12">
            <w:pPr>
              <w:autoSpaceDE w:val="0"/>
              <w:autoSpaceDN w:val="0"/>
              <w:adjustRightInd w:val="0"/>
              <w:spacing w:line="480" w:lineRule="auto"/>
              <w:ind w:left="60" w:right="60"/>
              <w:jc w:val="right"/>
              <w:rPr>
                <w:color w:val="000000"/>
                <w:sz w:val="24"/>
                <w:szCs w:val="24"/>
                <w:lang w:val="es-MX"/>
              </w:rPr>
            </w:pPr>
            <w:r w:rsidRPr="00161F12">
              <w:rPr>
                <w:color w:val="000000"/>
                <w:sz w:val="24"/>
                <w:szCs w:val="24"/>
                <w:lang w:val="es-MX"/>
              </w:rPr>
              <w:t xml:space="preserve">   </w:t>
            </w:r>
            <w:r w:rsidRPr="00161F12">
              <w:rPr>
                <w:color w:val="000000"/>
                <w:sz w:val="24"/>
                <w:szCs w:val="24"/>
                <w:lang w:val="es-MX"/>
              </w:rPr>
              <w:t>71.8%</w:t>
            </w:r>
          </w:p>
          <w:p w14:paraId="59934F35" w14:textId="6DE8013F" w:rsidR="00161F12" w:rsidRPr="00161F12" w:rsidRDefault="00161F12" w:rsidP="00161F12">
            <w:pPr>
              <w:spacing w:line="480" w:lineRule="auto"/>
              <w:jc w:val="center"/>
              <w:rPr>
                <w:sz w:val="24"/>
                <w:szCs w:val="24"/>
                <w:lang w:val="es-MX"/>
              </w:rPr>
            </w:pPr>
            <w:r w:rsidRPr="00161F12">
              <w:rPr>
                <w:sz w:val="24"/>
                <w:szCs w:val="24"/>
                <w:lang w:val="es-MX"/>
              </w:rPr>
              <w:t xml:space="preserve">          </w:t>
            </w:r>
            <w:r w:rsidRPr="00161F12">
              <w:rPr>
                <w:sz w:val="24"/>
                <w:szCs w:val="24"/>
                <w:lang w:val="es-MX"/>
              </w:rPr>
              <w:t>28.2</w:t>
            </w:r>
            <w:r w:rsidRPr="00161F12">
              <w:rPr>
                <w:sz w:val="24"/>
                <w:szCs w:val="24"/>
                <w:lang w:val="es-MX"/>
              </w:rPr>
              <w:t>%</w:t>
            </w:r>
          </w:p>
        </w:tc>
      </w:tr>
    </w:tbl>
    <w:p w14:paraId="25A4ED05" w14:textId="12EA3FE0" w:rsidR="00161F12" w:rsidRPr="00161F12" w:rsidRDefault="00161F12" w:rsidP="00161F12">
      <w:pPr>
        <w:spacing w:after="240" w:line="480" w:lineRule="auto"/>
        <w:ind w:left="384"/>
        <w:rPr>
          <w:sz w:val="24"/>
          <w:szCs w:val="24"/>
        </w:rPr>
      </w:pPr>
      <w:r w:rsidRPr="00161F12">
        <w:rPr>
          <w:sz w:val="24"/>
          <w:szCs w:val="24"/>
        </w:rPr>
        <w:t xml:space="preserve">Tabla 1.- </w:t>
      </w:r>
      <w:r w:rsidRPr="00161F12">
        <w:rPr>
          <w:sz w:val="24"/>
          <w:szCs w:val="24"/>
        </w:rPr>
        <w:t xml:space="preserve">Características clínicas, radiológicas y patológicas de la cohorte. Se presentan los valores de mediana y percentiles (P25–P75) para variables continuas, y el recuento absoluto con porcentaje para variables categóricas, incluyendo distribución del estadio clínico, </w:t>
      </w:r>
      <w:proofErr w:type="spellStart"/>
      <w:r w:rsidRPr="00161F12">
        <w:rPr>
          <w:sz w:val="24"/>
          <w:szCs w:val="24"/>
        </w:rPr>
        <w:t>cN</w:t>
      </w:r>
      <w:proofErr w:type="spellEnd"/>
      <w:r w:rsidRPr="00161F12">
        <w:rPr>
          <w:sz w:val="24"/>
          <w:szCs w:val="24"/>
        </w:rPr>
        <w:t xml:space="preserve"> PET PSMA, parámetros de biopsia y estado ganglionar final (</w:t>
      </w:r>
      <w:proofErr w:type="spellStart"/>
      <w:r w:rsidRPr="00161F12">
        <w:rPr>
          <w:sz w:val="24"/>
          <w:szCs w:val="24"/>
        </w:rPr>
        <w:t>pN</w:t>
      </w:r>
      <w:proofErr w:type="spellEnd"/>
      <w:r w:rsidRPr="00161F12">
        <w:rPr>
          <w:sz w:val="24"/>
          <w:szCs w:val="24"/>
        </w:rPr>
        <w:t>)</w:t>
      </w:r>
    </w:p>
    <w:p w14:paraId="13A35DFD" w14:textId="77777777" w:rsidR="00161F12" w:rsidRPr="00161F12" w:rsidRDefault="00161F12" w:rsidP="00161F12">
      <w:pPr>
        <w:spacing w:after="240" w:line="480" w:lineRule="auto"/>
        <w:ind w:left="384"/>
        <w:rPr>
          <w:sz w:val="24"/>
          <w:szCs w:val="24"/>
        </w:rPr>
      </w:pPr>
    </w:p>
    <w:p w14:paraId="6B23E557" w14:textId="77777777" w:rsidR="00161F12" w:rsidRPr="00161F12" w:rsidRDefault="00161F12" w:rsidP="00161F12">
      <w:pPr>
        <w:spacing w:after="240" w:line="480" w:lineRule="auto"/>
        <w:ind w:left="384"/>
        <w:rPr>
          <w:sz w:val="24"/>
          <w:szCs w:val="24"/>
        </w:rPr>
      </w:pPr>
    </w:p>
    <w:p w14:paraId="52450A6C" w14:textId="01CA5AD5" w:rsidR="00F26601" w:rsidRPr="00161F12" w:rsidRDefault="00161F12" w:rsidP="00161F12">
      <w:pPr>
        <w:spacing w:after="240" w:line="480" w:lineRule="auto"/>
        <w:ind w:left="384"/>
        <w:rPr>
          <w:sz w:val="24"/>
          <w:szCs w:val="24"/>
        </w:rPr>
      </w:pPr>
      <w:r w:rsidRPr="00161F12">
        <w:rPr>
          <w:sz w:val="24"/>
          <w:szCs w:val="24"/>
        </w:rPr>
        <w:drawing>
          <wp:inline distT="0" distB="0" distL="0" distR="0" wp14:anchorId="4B0B40AB" wp14:editId="144C5E36">
            <wp:extent cx="5733415" cy="2555875"/>
            <wp:effectExtent l="0" t="0" r="0" b="0"/>
            <wp:docPr id="7996255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25571" name=""/>
                    <pic:cNvPicPr/>
                  </pic:nvPicPr>
                  <pic:blipFill>
                    <a:blip r:embed="rId33"/>
                    <a:stretch>
                      <a:fillRect/>
                    </a:stretch>
                  </pic:blipFill>
                  <pic:spPr>
                    <a:xfrm>
                      <a:off x="0" y="0"/>
                      <a:ext cx="5733415" cy="2555875"/>
                    </a:xfrm>
                    <a:prstGeom prst="rect">
                      <a:avLst/>
                    </a:prstGeom>
                  </pic:spPr>
                </pic:pic>
              </a:graphicData>
            </a:graphic>
          </wp:inline>
        </w:drawing>
      </w:r>
    </w:p>
    <w:p w14:paraId="3DADBD82" w14:textId="3FA11F02" w:rsidR="00F26601" w:rsidRPr="00161F12" w:rsidRDefault="00161F12" w:rsidP="00161F12">
      <w:pPr>
        <w:spacing w:after="240" w:line="480" w:lineRule="auto"/>
        <w:ind w:left="384"/>
        <w:rPr>
          <w:sz w:val="24"/>
          <w:szCs w:val="24"/>
        </w:rPr>
      </w:pPr>
      <w:r w:rsidRPr="00161F12">
        <w:rPr>
          <w:rStyle w:val="Textoennegrita"/>
          <w:sz w:val="24"/>
          <w:szCs w:val="24"/>
        </w:rPr>
        <w:t xml:space="preserve">Tabla </w:t>
      </w:r>
      <w:r w:rsidRPr="00161F12">
        <w:rPr>
          <w:rStyle w:val="Textoennegrita"/>
          <w:sz w:val="24"/>
          <w:szCs w:val="24"/>
        </w:rPr>
        <w:t>2</w:t>
      </w:r>
      <w:r w:rsidRPr="00161F12">
        <w:rPr>
          <w:rStyle w:val="Textoennegrita"/>
          <w:sz w:val="24"/>
          <w:szCs w:val="24"/>
        </w:rPr>
        <w:t>.</w:t>
      </w:r>
      <w:r w:rsidRPr="00161F12">
        <w:rPr>
          <w:sz w:val="24"/>
          <w:szCs w:val="24"/>
        </w:rPr>
        <w:t xml:space="preserve"> Rendimiento diagnóstico de los nomogramas </w:t>
      </w:r>
      <w:proofErr w:type="spellStart"/>
      <w:r w:rsidRPr="00161F12">
        <w:rPr>
          <w:sz w:val="24"/>
          <w:szCs w:val="24"/>
        </w:rPr>
        <w:t>Briganti</w:t>
      </w:r>
      <w:proofErr w:type="spellEnd"/>
      <w:r w:rsidRPr="00161F12">
        <w:rPr>
          <w:sz w:val="24"/>
          <w:szCs w:val="24"/>
        </w:rPr>
        <w:t xml:space="preserve"> 2018 y ABS según los puntos de corte originales y ajustados mediante el índice de </w:t>
      </w:r>
      <w:proofErr w:type="spellStart"/>
      <w:r w:rsidRPr="00161F12">
        <w:rPr>
          <w:sz w:val="24"/>
          <w:szCs w:val="24"/>
        </w:rPr>
        <w:t>Youden</w:t>
      </w:r>
      <w:proofErr w:type="spellEnd"/>
      <w:r w:rsidRPr="00161F12">
        <w:rPr>
          <w:sz w:val="24"/>
          <w:szCs w:val="24"/>
        </w:rPr>
        <w:t>. Se presentan los valores de sensibilidad, especificidad, valor predictivo positivo (VPP), valor predictivo negativo (VPN), número estimado de linfadenectomías</w:t>
      </w:r>
      <w:r w:rsidRPr="00161F12">
        <w:rPr>
          <w:sz w:val="24"/>
          <w:szCs w:val="24"/>
        </w:rPr>
        <w:t xml:space="preserve"> </w:t>
      </w:r>
      <w:r w:rsidRPr="00161F12">
        <w:rPr>
          <w:sz w:val="24"/>
          <w:szCs w:val="24"/>
        </w:rPr>
        <w:t>realizadas, casos pN1 detectados y el impacto clínico del ajuste</w:t>
      </w:r>
      <w:r w:rsidRPr="00161F12">
        <w:rPr>
          <w:sz w:val="24"/>
          <w:szCs w:val="24"/>
        </w:rPr>
        <w:t xml:space="preserve"> </w:t>
      </w:r>
      <w:r w:rsidRPr="00161F12">
        <w:rPr>
          <w:sz w:val="24"/>
          <w:szCs w:val="24"/>
        </w:rPr>
        <w:t>en términos de reducción de LPE y casos pN1 omitido</w:t>
      </w:r>
      <w:r w:rsidRPr="00161F12">
        <w:rPr>
          <w:sz w:val="24"/>
          <w:szCs w:val="24"/>
        </w:rPr>
        <w:t>.</w:t>
      </w:r>
    </w:p>
    <w:p w14:paraId="4D4BE9C2" w14:textId="77777777" w:rsidR="00F26601" w:rsidRPr="00161F12" w:rsidRDefault="00F26601" w:rsidP="00161F12">
      <w:pPr>
        <w:spacing w:after="240" w:line="480" w:lineRule="auto"/>
        <w:ind w:left="384"/>
        <w:rPr>
          <w:sz w:val="24"/>
          <w:szCs w:val="24"/>
        </w:rPr>
      </w:pPr>
    </w:p>
    <w:p w14:paraId="7453A6E4" w14:textId="77777777" w:rsidR="00F26601" w:rsidRPr="00161F12" w:rsidRDefault="00F26601" w:rsidP="00161F12">
      <w:pPr>
        <w:spacing w:after="240" w:line="480" w:lineRule="auto"/>
        <w:ind w:left="384"/>
        <w:rPr>
          <w:sz w:val="24"/>
          <w:szCs w:val="24"/>
        </w:rPr>
      </w:pPr>
    </w:p>
    <w:p w14:paraId="30E884B5" w14:textId="77777777" w:rsidR="00F26601" w:rsidRPr="00161F12" w:rsidRDefault="00F26601" w:rsidP="00161F12">
      <w:pPr>
        <w:spacing w:after="240" w:line="480" w:lineRule="auto"/>
        <w:ind w:left="384"/>
        <w:rPr>
          <w:sz w:val="24"/>
          <w:szCs w:val="24"/>
        </w:rPr>
      </w:pPr>
    </w:p>
    <w:p w14:paraId="6337DF21" w14:textId="77777777" w:rsidR="00F26601" w:rsidRPr="00161F12" w:rsidRDefault="00000000" w:rsidP="00161F12">
      <w:pPr>
        <w:spacing w:before="240" w:after="240" w:line="480" w:lineRule="auto"/>
        <w:rPr>
          <w:sz w:val="24"/>
          <w:szCs w:val="24"/>
          <w:highlight w:val="white"/>
        </w:rPr>
      </w:pPr>
      <w:r w:rsidRPr="00161F12">
        <w:rPr>
          <w:noProof/>
          <w:sz w:val="24"/>
          <w:szCs w:val="24"/>
          <w:highlight w:val="white"/>
        </w:rPr>
        <w:drawing>
          <wp:inline distT="114300" distB="114300" distL="114300" distR="114300" wp14:anchorId="20797C52" wp14:editId="6FA3286F">
            <wp:extent cx="5731200" cy="33782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4"/>
                    <a:srcRect/>
                    <a:stretch>
                      <a:fillRect/>
                    </a:stretch>
                  </pic:blipFill>
                  <pic:spPr>
                    <a:xfrm>
                      <a:off x="0" y="0"/>
                      <a:ext cx="5731200" cy="3378200"/>
                    </a:xfrm>
                    <a:prstGeom prst="rect">
                      <a:avLst/>
                    </a:prstGeom>
                    <a:ln/>
                  </pic:spPr>
                </pic:pic>
              </a:graphicData>
            </a:graphic>
          </wp:inline>
        </w:drawing>
      </w:r>
    </w:p>
    <w:p w14:paraId="7177EAD9" w14:textId="77777777" w:rsidR="00F26601" w:rsidRDefault="00000000" w:rsidP="00161F12">
      <w:pPr>
        <w:spacing w:before="240" w:after="240" w:line="480" w:lineRule="auto"/>
        <w:rPr>
          <w:sz w:val="24"/>
          <w:szCs w:val="24"/>
          <w:highlight w:val="white"/>
        </w:rPr>
      </w:pPr>
      <w:r w:rsidRPr="00161F12">
        <w:rPr>
          <w:b/>
          <w:sz w:val="24"/>
          <w:szCs w:val="24"/>
          <w:highlight w:val="white"/>
        </w:rPr>
        <w:t>Figura 1.</w:t>
      </w:r>
      <w:r w:rsidRPr="00161F12">
        <w:rPr>
          <w:sz w:val="24"/>
          <w:szCs w:val="24"/>
          <w:highlight w:val="white"/>
        </w:rPr>
        <w:t xml:space="preserve"> Curvas ROC de los nomogramas </w:t>
      </w:r>
      <w:proofErr w:type="spellStart"/>
      <w:r w:rsidRPr="00161F12">
        <w:rPr>
          <w:sz w:val="24"/>
          <w:szCs w:val="24"/>
          <w:highlight w:val="white"/>
        </w:rPr>
        <w:t>Briganti</w:t>
      </w:r>
      <w:proofErr w:type="spellEnd"/>
      <w:r w:rsidRPr="00161F12">
        <w:rPr>
          <w:sz w:val="24"/>
          <w:szCs w:val="24"/>
          <w:highlight w:val="white"/>
        </w:rPr>
        <w:t xml:space="preserve"> 2018 y ABS para la predicción de metástasis ganglionar. El nomograma ABS mostró un AUC de 0,76, ligeramente superior al </w:t>
      </w:r>
      <w:proofErr w:type="spellStart"/>
      <w:r w:rsidRPr="00161F12">
        <w:rPr>
          <w:sz w:val="24"/>
          <w:szCs w:val="24"/>
          <w:highlight w:val="white"/>
        </w:rPr>
        <w:t>Briganti</w:t>
      </w:r>
      <w:proofErr w:type="spellEnd"/>
      <w:r w:rsidRPr="00161F12">
        <w:rPr>
          <w:sz w:val="24"/>
          <w:szCs w:val="24"/>
          <w:highlight w:val="white"/>
        </w:rPr>
        <w:t xml:space="preserve"> 2018 (AUC 0,73), sin alcanzar significación estadística (p = 0,31).</w:t>
      </w:r>
    </w:p>
    <w:p w14:paraId="4B202C8E" w14:textId="77777777" w:rsidR="00020A90" w:rsidRPr="00161F12" w:rsidRDefault="00020A90" w:rsidP="00161F12">
      <w:pPr>
        <w:spacing w:before="240" w:after="240" w:line="480" w:lineRule="auto"/>
        <w:rPr>
          <w:sz w:val="24"/>
          <w:szCs w:val="24"/>
          <w:highlight w:val="white"/>
        </w:rPr>
      </w:pPr>
    </w:p>
    <w:sectPr w:rsidR="00020A90" w:rsidRPr="00161F12">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260E4B"/>
    <w:multiLevelType w:val="multilevel"/>
    <w:tmpl w:val="DC183D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843590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601"/>
    <w:rsid w:val="00020A90"/>
    <w:rsid w:val="000C1B3A"/>
    <w:rsid w:val="00161F12"/>
    <w:rsid w:val="003A1D5B"/>
    <w:rsid w:val="009D3B46"/>
    <w:rsid w:val="00B117BF"/>
    <w:rsid w:val="00E21BA5"/>
    <w:rsid w:val="00F2660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4:docId w14:val="4D0734B7"/>
  <w15:docId w15:val="{1920C18C-59F8-E74C-B1B1-226370164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character" w:styleId="Textoennegrita">
    <w:name w:val="Strong"/>
    <w:basedOn w:val="Fuentedeprrafopredeter"/>
    <w:uiPriority w:val="22"/>
    <w:qFormat/>
    <w:rsid w:val="00161F12"/>
    <w:rPr>
      <w:b/>
      <w:bCs/>
    </w:rPr>
  </w:style>
  <w:style w:type="character" w:styleId="Hipervnculo">
    <w:name w:val="Hyperlink"/>
    <w:basedOn w:val="Fuentedeprrafopredeter"/>
    <w:uiPriority w:val="99"/>
    <w:unhideWhenUsed/>
    <w:rsid w:val="009D3B46"/>
    <w:rPr>
      <w:color w:val="0000FF" w:themeColor="hyperlink"/>
      <w:u w:val="single"/>
    </w:rPr>
  </w:style>
  <w:style w:type="character" w:styleId="Mencinsinresolver">
    <w:name w:val="Unresolved Mention"/>
    <w:basedOn w:val="Fuentedeprrafopredeter"/>
    <w:uiPriority w:val="99"/>
    <w:semiHidden/>
    <w:unhideWhenUsed/>
    <w:rsid w:val="009D3B46"/>
    <w:rPr>
      <w:color w:val="605E5C"/>
      <w:shd w:val="clear" w:color="auto" w:fill="E1DFDD"/>
    </w:rPr>
  </w:style>
  <w:style w:type="paragraph" w:styleId="Revisin">
    <w:name w:val="Revision"/>
    <w:hidden/>
    <w:uiPriority w:val="99"/>
    <w:semiHidden/>
    <w:rsid w:val="009D3B4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zotero.org/google-docs/?X4ZOfm" TargetMode="External"/><Relationship Id="rId18" Type="http://schemas.openxmlformats.org/officeDocument/2006/relationships/hyperlink" Target="https://www.zotero.org/google-docs/?K8gq9K" TargetMode="External"/><Relationship Id="rId26" Type="http://schemas.openxmlformats.org/officeDocument/2006/relationships/hyperlink" Target="https://www.zotero.org/google-docs/?cZOevE" TargetMode="External"/><Relationship Id="rId3" Type="http://schemas.openxmlformats.org/officeDocument/2006/relationships/settings" Target="settings.xml"/><Relationship Id="rId21" Type="http://schemas.openxmlformats.org/officeDocument/2006/relationships/hyperlink" Target="https://www.zotero.org/google-docs/?LIJ0GN" TargetMode="External"/><Relationship Id="rId34" Type="http://schemas.openxmlformats.org/officeDocument/2006/relationships/image" Target="media/image2.png"/><Relationship Id="rId7" Type="http://schemas.openxmlformats.org/officeDocument/2006/relationships/hyperlink" Target="https://www.zotero.org/google-docs/?medo8f" TargetMode="External"/><Relationship Id="rId12" Type="http://schemas.openxmlformats.org/officeDocument/2006/relationships/hyperlink" Target="https://www.zotero.org/google-docs/?uaQn5B" TargetMode="External"/><Relationship Id="rId17" Type="http://schemas.openxmlformats.org/officeDocument/2006/relationships/hyperlink" Target="https://www.zotero.org/google-docs/?l3Q9rp" TargetMode="External"/><Relationship Id="rId25" Type="http://schemas.openxmlformats.org/officeDocument/2006/relationships/hyperlink" Target="https://www.zotero.org/google-docs/?pyYmLF" TargetMode="External"/><Relationship Id="rId33"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zotero.org/google-docs/?tkYLpZ" TargetMode="External"/><Relationship Id="rId20" Type="http://schemas.openxmlformats.org/officeDocument/2006/relationships/hyperlink" Target="https://www.zotero.org/google-docs/?Gf54zl" TargetMode="External"/><Relationship Id="rId29" Type="http://schemas.openxmlformats.org/officeDocument/2006/relationships/hyperlink" Target="https://www.zotero.org/google-docs/?ggy4CU" TargetMode="External"/><Relationship Id="rId1" Type="http://schemas.openxmlformats.org/officeDocument/2006/relationships/numbering" Target="numbering.xml"/><Relationship Id="rId6" Type="http://schemas.openxmlformats.org/officeDocument/2006/relationships/hyperlink" Target="https://www.zotero.org/google-docs/?Q5hmCE" TargetMode="External"/><Relationship Id="rId11" Type="http://schemas.openxmlformats.org/officeDocument/2006/relationships/hyperlink" Target="https://www.zotero.org/google-docs/?5zTUUZ" TargetMode="External"/><Relationship Id="rId24" Type="http://schemas.openxmlformats.org/officeDocument/2006/relationships/hyperlink" Target="https://www.zotero.org/google-docs/?6Q3qTs" TargetMode="External"/><Relationship Id="rId32" Type="http://schemas.openxmlformats.org/officeDocument/2006/relationships/hyperlink" Target="http://www.auajournals.org/doi/10.1097/01.JU.0001009428.69695.82.01" TargetMode="External"/><Relationship Id="rId5" Type="http://schemas.openxmlformats.org/officeDocument/2006/relationships/hyperlink" Target="https://www.zotero.org/google-docs/?pjHTai" TargetMode="External"/><Relationship Id="rId15" Type="http://schemas.openxmlformats.org/officeDocument/2006/relationships/hyperlink" Target="https://www.zotero.org/google-docs/?eBHBnG" TargetMode="External"/><Relationship Id="rId23" Type="http://schemas.openxmlformats.org/officeDocument/2006/relationships/hyperlink" Target="https://www.zotero.org/google-docs/?gypNgs" TargetMode="External"/><Relationship Id="rId28" Type="http://schemas.openxmlformats.org/officeDocument/2006/relationships/hyperlink" Target="https://www.zotero.org/google-docs/?FTZniq" TargetMode="External"/><Relationship Id="rId36" Type="http://schemas.openxmlformats.org/officeDocument/2006/relationships/theme" Target="theme/theme1.xml"/><Relationship Id="rId10" Type="http://schemas.openxmlformats.org/officeDocument/2006/relationships/hyperlink" Target="https://www.zotero.org/google-docs/?9x8rwB" TargetMode="External"/><Relationship Id="rId19" Type="http://schemas.openxmlformats.org/officeDocument/2006/relationships/hyperlink" Target="https://www.zotero.org/google-docs/?xrHl8C" TargetMode="External"/><Relationship Id="rId31" Type="http://schemas.openxmlformats.org/officeDocument/2006/relationships/hyperlink" Target="http://www.auajournals.org/doi/10.1097/01.JU.0001008792.09108.b4.07" TargetMode="External"/><Relationship Id="rId4" Type="http://schemas.openxmlformats.org/officeDocument/2006/relationships/webSettings" Target="webSettings.xml"/><Relationship Id="rId9" Type="http://schemas.openxmlformats.org/officeDocument/2006/relationships/hyperlink" Target="https://www.zotero.org/google-docs/?emO9DG" TargetMode="External"/><Relationship Id="rId14" Type="http://schemas.openxmlformats.org/officeDocument/2006/relationships/hyperlink" Target="https://www.zotero.org/google-docs/?CrcV4V" TargetMode="External"/><Relationship Id="rId22" Type="http://schemas.openxmlformats.org/officeDocument/2006/relationships/hyperlink" Target="https://www.zotero.org/google-docs/?VaUMI7" TargetMode="External"/><Relationship Id="rId27" Type="http://schemas.openxmlformats.org/officeDocument/2006/relationships/hyperlink" Target="https://www.zotero.org/google-docs/?NMtXph" TargetMode="External"/><Relationship Id="rId30" Type="http://schemas.openxmlformats.org/officeDocument/2006/relationships/hyperlink" Target="https://gco.iarc.who.int/today/" TargetMode="External"/><Relationship Id="rId35" Type="http://schemas.openxmlformats.org/officeDocument/2006/relationships/fontTable" Target="fontTable.xml"/><Relationship Id="rId8" Type="http://schemas.openxmlformats.org/officeDocument/2006/relationships/hyperlink" Target="https://www.zotero.org/google-docs/?brYS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19</Pages>
  <Words>4361</Words>
  <Characters>23989</Characters>
  <Application>Microsoft Office Word</Application>
  <DocSecurity>0</DocSecurity>
  <Lines>199</Lines>
  <Paragraphs>56</Paragraphs>
  <ScaleCrop>false</ScaleCrop>
  <Company/>
  <LinksUpToDate>false</LinksUpToDate>
  <CharactersWithSpaces>28294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Alfredo Eduardo Aliaga De La Fuente (aealiaga)</cp:lastModifiedBy>
  <cp:revision>7</cp:revision>
  <dcterms:created xsi:type="dcterms:W3CDTF">2025-10-19T18:09:00Z</dcterms:created>
  <dcterms:modified xsi:type="dcterms:W3CDTF">2025-10-19T21:42:00Z</dcterms:modified>
</cp:coreProperties>
</file>