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A0B7" w14:textId="77777777" w:rsidR="004D39D4" w:rsidRPr="004D39D4" w:rsidRDefault="004D39D4" w:rsidP="00B938FB">
      <w:pPr>
        <w:spacing w:after="0" w:line="480" w:lineRule="auto"/>
        <w:jc w:val="both"/>
        <w:rPr>
          <w:rFonts w:ascii="Times New Roman" w:hAnsi="Times New Roman" w:cs="Times New Roman"/>
          <w:b/>
          <w:bCs/>
          <w:sz w:val="24"/>
          <w:szCs w:val="24"/>
          <w:lang w:val="en-US"/>
        </w:rPr>
      </w:pPr>
      <w:r w:rsidRPr="004D39D4">
        <w:rPr>
          <w:rFonts w:ascii="Times New Roman" w:hAnsi="Times New Roman" w:cs="Times New Roman"/>
          <w:b/>
          <w:bCs/>
          <w:sz w:val="24"/>
          <w:szCs w:val="24"/>
        </w:rPr>
        <w:t xml:space="preserve">BIOPSIA PROSTÁTICA POR FUSIÓN GUIADA POR SOFTWARE: ¿APORTA LA SISTEMÁTICA? </w:t>
      </w:r>
      <w:r w:rsidRPr="004D39D4">
        <w:rPr>
          <w:rFonts w:ascii="Times New Roman" w:hAnsi="Times New Roman" w:cs="Times New Roman"/>
          <w:b/>
          <w:bCs/>
          <w:sz w:val="24"/>
          <w:szCs w:val="24"/>
          <w:lang w:val="en-US"/>
        </w:rPr>
        <w:t>ANÁLISIS RETROSPECTIVO.</w:t>
      </w:r>
    </w:p>
    <w:p w14:paraId="4D396485" w14:textId="77777777" w:rsidR="004D39D4" w:rsidRPr="004F0D15" w:rsidRDefault="004D39D4" w:rsidP="00B938FB">
      <w:pPr>
        <w:spacing w:after="0" w:line="480" w:lineRule="auto"/>
        <w:jc w:val="both"/>
        <w:rPr>
          <w:rFonts w:ascii="Times New Roman" w:hAnsi="Times New Roman" w:cs="Times New Roman"/>
          <w:sz w:val="24"/>
          <w:szCs w:val="24"/>
        </w:rPr>
      </w:pPr>
      <w:r w:rsidRPr="004D39D4">
        <w:rPr>
          <w:rFonts w:ascii="Times New Roman" w:hAnsi="Times New Roman" w:cs="Times New Roman"/>
          <w:sz w:val="24"/>
          <w:szCs w:val="24"/>
          <w:lang w:val="en-US"/>
        </w:rPr>
        <w:t xml:space="preserve">SOFTWARE-GUIDED FUSION PROSTATE BIOPSY: DOES SYSTEMATIC BIOPSY ADD VALUE? </w:t>
      </w:r>
      <w:r w:rsidRPr="004F0D15">
        <w:rPr>
          <w:rFonts w:ascii="Times New Roman" w:hAnsi="Times New Roman" w:cs="Times New Roman"/>
          <w:sz w:val="24"/>
          <w:szCs w:val="24"/>
        </w:rPr>
        <w:t>RETROSPECTIVE ANALYSIS.</w:t>
      </w:r>
    </w:p>
    <w:p w14:paraId="2D546EB8" w14:textId="77777777" w:rsidR="00B938FB" w:rsidRDefault="00B938FB" w:rsidP="00B938FB">
      <w:pPr>
        <w:spacing w:line="480" w:lineRule="auto"/>
        <w:jc w:val="both"/>
        <w:rPr>
          <w:rFonts w:ascii="Times New Roman" w:hAnsi="Times New Roman" w:cs="Times New Roman"/>
          <w:b/>
          <w:bCs/>
          <w:sz w:val="24"/>
          <w:szCs w:val="24"/>
        </w:rPr>
      </w:pPr>
    </w:p>
    <w:p w14:paraId="1EC17042" w14:textId="77777777" w:rsidR="00796196" w:rsidRPr="00FA0E73" w:rsidRDefault="00796196" w:rsidP="00796196">
      <w:pPr>
        <w:spacing w:line="480" w:lineRule="auto"/>
        <w:jc w:val="both"/>
        <w:rPr>
          <w:rFonts w:ascii="Times New Roman" w:hAnsi="Times New Roman" w:cs="Times New Roman"/>
          <w:b/>
          <w:bCs/>
          <w:sz w:val="24"/>
          <w:szCs w:val="24"/>
        </w:rPr>
      </w:pPr>
      <w:r w:rsidRPr="00FA0E73">
        <w:rPr>
          <w:rFonts w:ascii="Times New Roman" w:hAnsi="Times New Roman" w:cs="Times New Roman"/>
          <w:b/>
          <w:bCs/>
          <w:sz w:val="24"/>
          <w:szCs w:val="24"/>
        </w:rPr>
        <w:t>Resumen</w:t>
      </w:r>
      <w:r w:rsidRPr="00FA0E73">
        <w:rPr>
          <w:rFonts w:ascii="Times New Roman" w:hAnsi="Times New Roman" w:cs="Times New Roman"/>
          <w:b/>
          <w:bCs/>
          <w:sz w:val="24"/>
          <w:szCs w:val="24"/>
        </w:rPr>
        <w:tab/>
      </w:r>
    </w:p>
    <w:p w14:paraId="7DFC5B28"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Antecedentes: La resonancia multiparamétrica (RMmp) mejora la detección de cáncer de próstata clínicamente significativo (CaPcs), pero persiste la controversia sobre el rol de la biopsia sistemática cuando hay lesiones visibles.</w:t>
      </w:r>
    </w:p>
    <w:p w14:paraId="5541FCCC"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Objetivos: Evaluar el aporte diagnóstico de la biopsia sistemática añadida a la dirigida por fusión guiada por software en la detección de CaPcs; explorar factores asociados a detección exclusiva por sistemática.</w:t>
      </w:r>
    </w:p>
    <w:p w14:paraId="5F8C1445"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Métodos: Estudio observacional retrospectivo en hombres con PI-RADS ≥3 sometidos a biopsia combinada (dirigida + sistemática) transrectal asistida por software (Koelis Trinity®) entre 2018 y 2025. Desenlace primario: detección de CaPcs (ISUP ≥2). Comparaciones pareadas con prueba de McNemar; modelos de regresión logística uni y multivariables para predictores; análisis estratificado por PI-RADS.</w:t>
      </w:r>
    </w:p>
    <w:p w14:paraId="1BF28611" w14:textId="0B3B1B14"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Resultados: Se analizaron 651 biopsias. Medianas: Edad de 65 años, APE 6,1 ng/mL y volumen prostático 49 mL. La detección global de cáncer fue 71,3% y de CaPcs 43,8%. La biopsia sistemática identificó CaPcs en un </w:t>
      </w:r>
      <w:r w:rsidR="00451E00">
        <w:rPr>
          <w:rFonts w:ascii="Times New Roman" w:hAnsi="Times New Roman" w:cs="Times New Roman"/>
          <w:sz w:val="24"/>
          <w:szCs w:val="24"/>
        </w:rPr>
        <w:t>8,9</w:t>
      </w:r>
      <w:r w:rsidRPr="00FA0E73">
        <w:rPr>
          <w:rFonts w:ascii="Times New Roman" w:hAnsi="Times New Roman" w:cs="Times New Roman"/>
          <w:sz w:val="24"/>
          <w:szCs w:val="24"/>
        </w:rPr>
        <w:t xml:space="preserve">% adicional (p&lt;0,01); 26% de estos hallazgos fueron contralaterales a la lesión índice. El incremento de ISUP 1 atribuible a la sistemática fue 5,7% </w:t>
      </w:r>
      <w:r w:rsidRPr="00FA0E73">
        <w:rPr>
          <w:rFonts w:ascii="Times New Roman" w:hAnsi="Times New Roman" w:cs="Times New Roman"/>
          <w:sz w:val="24"/>
          <w:szCs w:val="24"/>
        </w:rPr>
        <w:lastRenderedPageBreak/>
        <w:t>(p=0,32). En modelos multivariables, no se identificaron predictores clínicos o de imagen que se asocien al hallazgo de CaPcs fuera de región objetivo.</w:t>
      </w:r>
    </w:p>
    <w:p w14:paraId="420DFC56" w14:textId="68F57C0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Conclusión: En esta cohorte contemporánea de fusión guiada por software, la biopsia sistemática añadió ~</w:t>
      </w:r>
      <w:r w:rsidR="002250A7">
        <w:rPr>
          <w:rFonts w:ascii="Times New Roman" w:hAnsi="Times New Roman" w:cs="Times New Roman"/>
          <w:sz w:val="24"/>
          <w:szCs w:val="24"/>
        </w:rPr>
        <w:t>9</w:t>
      </w:r>
      <w:r w:rsidRPr="00FA0E73">
        <w:rPr>
          <w:rFonts w:ascii="Times New Roman" w:hAnsi="Times New Roman" w:cs="Times New Roman"/>
          <w:sz w:val="24"/>
          <w:szCs w:val="24"/>
        </w:rPr>
        <w:t>% de detección de CaPcs —con aporte relevante contralateral— sin aumentar significativamente tumores indolentes. Ante la falta de predictores robustos para omitirla, su uso debería mantenerse como complemento de la dirigida, individualizando la indicación para equilibrar sensibilidad y sobrediagnóstico.</w:t>
      </w:r>
    </w:p>
    <w:p w14:paraId="2D9657FE"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Palabras clave: Cáncer de próstata; Biopsia de próstata; Resonancia multiparamétrica de próstata; Biopsia a objetivo; Biopsia sistemática, Cáncer de Próstata clínicamente significativo.</w:t>
      </w:r>
    </w:p>
    <w:p w14:paraId="7BBA8290" w14:textId="77777777" w:rsidR="00796196" w:rsidRPr="00FA0E73" w:rsidRDefault="00796196" w:rsidP="00796196">
      <w:pPr>
        <w:spacing w:line="480" w:lineRule="auto"/>
        <w:jc w:val="both"/>
        <w:rPr>
          <w:rFonts w:ascii="Times New Roman" w:hAnsi="Times New Roman" w:cs="Times New Roman"/>
          <w:b/>
          <w:bCs/>
          <w:sz w:val="24"/>
          <w:szCs w:val="24"/>
        </w:rPr>
      </w:pPr>
    </w:p>
    <w:p w14:paraId="3D2FBF9B" w14:textId="77777777" w:rsidR="00796196" w:rsidRPr="00FA0E73" w:rsidRDefault="00796196" w:rsidP="00796196">
      <w:pPr>
        <w:spacing w:line="480" w:lineRule="auto"/>
        <w:jc w:val="both"/>
        <w:rPr>
          <w:rFonts w:ascii="Times New Roman" w:hAnsi="Times New Roman" w:cs="Times New Roman"/>
          <w:b/>
          <w:bCs/>
          <w:sz w:val="24"/>
          <w:szCs w:val="24"/>
          <w:lang w:val="en-US"/>
        </w:rPr>
      </w:pPr>
      <w:r w:rsidRPr="00FA0E73">
        <w:rPr>
          <w:rFonts w:ascii="Times New Roman" w:hAnsi="Times New Roman" w:cs="Times New Roman"/>
          <w:b/>
          <w:bCs/>
          <w:sz w:val="24"/>
          <w:szCs w:val="24"/>
          <w:lang w:val="en-US"/>
        </w:rPr>
        <w:t>Abstract</w:t>
      </w:r>
    </w:p>
    <w:p w14:paraId="6BD6695C" w14:textId="77777777" w:rsidR="00796196" w:rsidRPr="00190B9F" w:rsidRDefault="00796196" w:rsidP="00796196">
      <w:pPr>
        <w:spacing w:line="480" w:lineRule="auto"/>
        <w:jc w:val="both"/>
        <w:rPr>
          <w:rFonts w:ascii="Times New Roman" w:hAnsi="Times New Roman" w:cs="Times New Roman"/>
          <w:sz w:val="24"/>
          <w:szCs w:val="24"/>
          <w:lang w:val="en-US"/>
        </w:rPr>
      </w:pPr>
      <w:r w:rsidRPr="00190B9F">
        <w:rPr>
          <w:rFonts w:ascii="Times New Roman" w:hAnsi="Times New Roman" w:cs="Times New Roman"/>
          <w:sz w:val="24"/>
          <w:szCs w:val="24"/>
          <w:lang w:val="en-US"/>
        </w:rPr>
        <w:t>Background: Multiparametric MRI (mpMRI) improves detection of clinically significant prostate cancer (csPCa), but the role of adding systematic biopsy when visible lesions are present remains controversial.</w:t>
      </w:r>
    </w:p>
    <w:p w14:paraId="1B94D646" w14:textId="77777777" w:rsidR="00796196" w:rsidRPr="00190B9F" w:rsidRDefault="00796196" w:rsidP="00796196">
      <w:pPr>
        <w:spacing w:line="480" w:lineRule="auto"/>
        <w:jc w:val="both"/>
        <w:rPr>
          <w:rFonts w:ascii="Times New Roman" w:hAnsi="Times New Roman" w:cs="Times New Roman"/>
          <w:sz w:val="24"/>
          <w:szCs w:val="24"/>
          <w:lang w:val="en-US"/>
        </w:rPr>
      </w:pPr>
      <w:r w:rsidRPr="00190B9F">
        <w:rPr>
          <w:rFonts w:ascii="Times New Roman" w:hAnsi="Times New Roman" w:cs="Times New Roman"/>
          <w:sz w:val="24"/>
          <w:szCs w:val="24"/>
          <w:lang w:val="en-US"/>
        </w:rPr>
        <w:t>Objectives: To quantify the diagnostic contribution of systematic biopsy added to software-guided fusion targeted biopsy for csPCa detection; to explore factors associated with csPCa detected exclusively by the systematic component and the contralateral distribution of findings.</w:t>
      </w:r>
    </w:p>
    <w:p w14:paraId="37ED0BFA" w14:textId="77777777" w:rsidR="00796196" w:rsidRPr="00190B9F" w:rsidRDefault="00796196" w:rsidP="00796196">
      <w:pPr>
        <w:spacing w:line="480" w:lineRule="auto"/>
        <w:jc w:val="both"/>
        <w:rPr>
          <w:rFonts w:ascii="Times New Roman" w:hAnsi="Times New Roman" w:cs="Times New Roman"/>
          <w:sz w:val="24"/>
          <w:szCs w:val="24"/>
          <w:lang w:val="en-US"/>
        </w:rPr>
      </w:pPr>
      <w:r w:rsidRPr="00190B9F">
        <w:rPr>
          <w:rFonts w:ascii="Times New Roman" w:hAnsi="Times New Roman" w:cs="Times New Roman"/>
          <w:sz w:val="24"/>
          <w:szCs w:val="24"/>
          <w:lang w:val="en-US"/>
        </w:rPr>
        <w:t>Methods: Retrospective observational study of men with PI-RADS ≥3 who underwent combined transrectal fusion biopsy (targeted + bilateral systematic) using Koelis Trinity® between 2018</w:t>
      </w:r>
      <w:r w:rsidRPr="00FA0E73">
        <w:rPr>
          <w:rFonts w:ascii="Times New Roman" w:hAnsi="Times New Roman" w:cs="Times New Roman"/>
          <w:sz w:val="24"/>
          <w:szCs w:val="24"/>
          <w:lang w:val="en-US"/>
        </w:rPr>
        <w:t xml:space="preserve"> and </w:t>
      </w:r>
      <w:r w:rsidRPr="00190B9F">
        <w:rPr>
          <w:rFonts w:ascii="Times New Roman" w:hAnsi="Times New Roman" w:cs="Times New Roman"/>
          <w:sz w:val="24"/>
          <w:szCs w:val="24"/>
          <w:lang w:val="en-US"/>
        </w:rPr>
        <w:t>2025. Primary endpoint: csPCa detection (ISUP ≥2). Paired comparisons used McNemar’s test; uni- and multivariable logistic regression assessed predictors; analyses were stratified by PI-RADS.</w:t>
      </w:r>
    </w:p>
    <w:p w14:paraId="1BF159C7" w14:textId="36756C39" w:rsidR="00796196" w:rsidRPr="00190B9F" w:rsidRDefault="00796196" w:rsidP="00796196">
      <w:pPr>
        <w:spacing w:line="480" w:lineRule="auto"/>
        <w:jc w:val="both"/>
        <w:rPr>
          <w:rFonts w:ascii="Times New Roman" w:hAnsi="Times New Roman" w:cs="Times New Roman"/>
          <w:sz w:val="24"/>
          <w:szCs w:val="24"/>
          <w:lang w:val="en-US"/>
        </w:rPr>
      </w:pPr>
      <w:r w:rsidRPr="00190B9F">
        <w:rPr>
          <w:rFonts w:ascii="Times New Roman" w:hAnsi="Times New Roman" w:cs="Times New Roman"/>
          <w:sz w:val="24"/>
          <w:szCs w:val="24"/>
          <w:lang w:val="en-US"/>
        </w:rPr>
        <w:lastRenderedPageBreak/>
        <w:t xml:space="preserve">Results: We analyzed 651 biopsies. Medians: </w:t>
      </w:r>
      <w:r w:rsidRPr="00FA0E73">
        <w:rPr>
          <w:rFonts w:ascii="Times New Roman" w:hAnsi="Times New Roman" w:cs="Times New Roman"/>
          <w:sz w:val="24"/>
          <w:szCs w:val="24"/>
          <w:lang w:val="en-US"/>
        </w:rPr>
        <w:t>A</w:t>
      </w:r>
      <w:r w:rsidRPr="00190B9F">
        <w:rPr>
          <w:rFonts w:ascii="Times New Roman" w:hAnsi="Times New Roman" w:cs="Times New Roman"/>
          <w:sz w:val="24"/>
          <w:szCs w:val="24"/>
          <w:lang w:val="en-US"/>
        </w:rPr>
        <w:t>ge 65 years, PSA 6.1 ng/mL</w:t>
      </w:r>
      <w:r w:rsidRPr="00FA0E73">
        <w:rPr>
          <w:rFonts w:ascii="Times New Roman" w:hAnsi="Times New Roman" w:cs="Times New Roman"/>
          <w:sz w:val="24"/>
          <w:szCs w:val="24"/>
          <w:lang w:val="en-US"/>
        </w:rPr>
        <w:t xml:space="preserve"> and </w:t>
      </w:r>
      <w:r w:rsidRPr="00190B9F">
        <w:rPr>
          <w:rFonts w:ascii="Times New Roman" w:hAnsi="Times New Roman" w:cs="Times New Roman"/>
          <w:sz w:val="24"/>
          <w:szCs w:val="24"/>
          <w:lang w:val="en-US"/>
        </w:rPr>
        <w:t xml:space="preserve">prostate volume 49 mL. Overall cancer detection was </w:t>
      </w:r>
      <w:r w:rsidRPr="00FA0E73">
        <w:rPr>
          <w:rFonts w:ascii="Times New Roman" w:hAnsi="Times New Roman" w:cs="Times New Roman"/>
          <w:sz w:val="24"/>
          <w:szCs w:val="24"/>
          <w:lang w:val="en-US"/>
        </w:rPr>
        <w:t>71,3</w:t>
      </w:r>
      <w:r w:rsidRPr="00190B9F">
        <w:rPr>
          <w:rFonts w:ascii="Times New Roman" w:hAnsi="Times New Roman" w:cs="Times New Roman"/>
          <w:sz w:val="24"/>
          <w:szCs w:val="24"/>
          <w:lang w:val="en-US"/>
        </w:rPr>
        <w:t xml:space="preserve">% and csPCa 43.8%. The systematic component identified an additional </w:t>
      </w:r>
      <w:r w:rsidR="00A65594">
        <w:rPr>
          <w:rFonts w:ascii="Times New Roman" w:hAnsi="Times New Roman" w:cs="Times New Roman"/>
          <w:sz w:val="24"/>
          <w:szCs w:val="24"/>
          <w:lang w:val="en-US"/>
        </w:rPr>
        <w:t>8,9</w:t>
      </w:r>
      <w:r w:rsidRPr="00190B9F">
        <w:rPr>
          <w:rFonts w:ascii="Times New Roman" w:hAnsi="Times New Roman" w:cs="Times New Roman"/>
          <w:sz w:val="24"/>
          <w:szCs w:val="24"/>
          <w:lang w:val="en-US"/>
        </w:rPr>
        <w:t>% of csPCa cases (p&lt;0.01); 26% of these were contralateral to the index lesion. The incremental detection of ISUP 1 attributable to the systematic component was 5.7% (p=0.32). In multivariable models, PSA density showed a non-significant trend toward association with exclusive detection by systematic biopsy; no consistent clinical or imaging predictors were identified.</w:t>
      </w:r>
    </w:p>
    <w:p w14:paraId="150DE69C" w14:textId="56B02C61" w:rsidR="00796196" w:rsidRPr="00190B9F" w:rsidRDefault="00796196" w:rsidP="00796196">
      <w:pPr>
        <w:spacing w:line="480" w:lineRule="auto"/>
        <w:jc w:val="both"/>
        <w:rPr>
          <w:rFonts w:ascii="Times New Roman" w:hAnsi="Times New Roman" w:cs="Times New Roman"/>
          <w:sz w:val="24"/>
          <w:szCs w:val="24"/>
          <w:lang w:val="en-US"/>
        </w:rPr>
      </w:pPr>
      <w:r w:rsidRPr="00190B9F">
        <w:rPr>
          <w:rFonts w:ascii="Times New Roman" w:hAnsi="Times New Roman" w:cs="Times New Roman"/>
          <w:sz w:val="24"/>
          <w:szCs w:val="24"/>
          <w:lang w:val="en-US"/>
        </w:rPr>
        <w:t>Conclusion: In this contemporary software-guided fusion cohort, systematic sampling added ~</w:t>
      </w:r>
      <w:r w:rsidR="002250A7">
        <w:rPr>
          <w:rFonts w:ascii="Times New Roman" w:hAnsi="Times New Roman" w:cs="Times New Roman"/>
          <w:sz w:val="24"/>
          <w:szCs w:val="24"/>
          <w:lang w:val="en-US"/>
        </w:rPr>
        <w:t>9</w:t>
      </w:r>
      <w:r w:rsidRPr="00190B9F">
        <w:rPr>
          <w:rFonts w:ascii="Times New Roman" w:hAnsi="Times New Roman" w:cs="Times New Roman"/>
          <w:sz w:val="24"/>
          <w:szCs w:val="24"/>
          <w:lang w:val="en-US"/>
        </w:rPr>
        <w:t>% csPCa detection—with relevant contralateral yield—without significantly increasing indolent tumors. In the absence of robust predictors to safely omit it, systematic biopsy should be maintained as a complement to targeted sampling, with individualized use to balance diagnostic sensitivity against overdiagnosis.</w:t>
      </w:r>
    </w:p>
    <w:p w14:paraId="5154B4CE" w14:textId="77777777" w:rsidR="00796196" w:rsidRPr="00FA0E73" w:rsidRDefault="00796196" w:rsidP="00796196">
      <w:pPr>
        <w:spacing w:line="480" w:lineRule="auto"/>
        <w:jc w:val="both"/>
        <w:rPr>
          <w:rFonts w:ascii="Times New Roman" w:hAnsi="Times New Roman" w:cs="Times New Roman"/>
          <w:b/>
          <w:bCs/>
          <w:sz w:val="24"/>
          <w:szCs w:val="24"/>
          <w:lang w:val="en-US"/>
        </w:rPr>
      </w:pPr>
      <w:r w:rsidRPr="00FA0E73">
        <w:rPr>
          <w:rFonts w:ascii="Times New Roman" w:hAnsi="Times New Roman" w:cs="Times New Roman"/>
          <w:sz w:val="24"/>
          <w:szCs w:val="24"/>
          <w:lang w:val="en-US"/>
        </w:rPr>
        <w:t>Keywords: Prostate cancer; Prostate biopsy; Multiparametric MRI; Targeted biopsy; Systematic biopsy; Clinically significant prostate cancer</w:t>
      </w:r>
    </w:p>
    <w:p w14:paraId="39A91D46" w14:textId="77777777" w:rsidR="00796196" w:rsidRPr="00FA0E73" w:rsidRDefault="00796196" w:rsidP="00796196">
      <w:pPr>
        <w:spacing w:line="480" w:lineRule="auto"/>
        <w:jc w:val="both"/>
        <w:rPr>
          <w:rFonts w:ascii="Times New Roman" w:hAnsi="Times New Roman" w:cs="Times New Roman"/>
          <w:b/>
          <w:bCs/>
          <w:sz w:val="24"/>
          <w:szCs w:val="24"/>
        </w:rPr>
      </w:pPr>
      <w:r w:rsidRPr="00FA0E73">
        <w:rPr>
          <w:rFonts w:ascii="Times New Roman" w:hAnsi="Times New Roman" w:cs="Times New Roman"/>
          <w:b/>
          <w:bCs/>
          <w:sz w:val="24"/>
          <w:szCs w:val="24"/>
        </w:rPr>
        <w:t>Introducción</w:t>
      </w:r>
    </w:p>
    <w:p w14:paraId="27D4E97D"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El cáncer de próstata (CaP) es la neoplasia sólida más frecuente en varones y constituye un desafío diagnóstico debido a su heterogeneidad biológica. El objetivo actual del proceso diagnóstico es identificar los cánceres clínicamente significativos (CaPcs) y evitar el sobrediagnóstico de tumores indolentes. La resonancia magnética multiparamétrica (RMmp) ha transformado este paradigma, permitiendo localizar lesiones sospechosas y dirigir las biopsias con mayor precisión. Estudios pivotales como PROMIS</w:t>
      </w:r>
      <w:r w:rsidRPr="00FA0E73">
        <w:rPr>
          <w:rFonts w:ascii="Times New Roman" w:hAnsi="Times New Roman" w:cs="Times New Roman"/>
          <w:sz w:val="24"/>
          <w:szCs w:val="24"/>
          <w:vertAlign w:val="superscript"/>
        </w:rPr>
        <w:t>1</w:t>
      </w:r>
      <w:r w:rsidRPr="00FA0E73">
        <w:rPr>
          <w:rFonts w:ascii="Times New Roman" w:hAnsi="Times New Roman" w:cs="Times New Roman"/>
          <w:sz w:val="24"/>
          <w:szCs w:val="24"/>
        </w:rPr>
        <w:t xml:space="preserve"> y PRECISION</w:t>
      </w:r>
      <w:r w:rsidRPr="00FA0E73">
        <w:rPr>
          <w:rFonts w:ascii="Times New Roman" w:hAnsi="Times New Roman" w:cs="Times New Roman"/>
          <w:sz w:val="24"/>
          <w:szCs w:val="24"/>
          <w:vertAlign w:val="superscript"/>
        </w:rPr>
        <w:t>2</w:t>
      </w:r>
      <w:r w:rsidRPr="00FA0E73">
        <w:rPr>
          <w:rFonts w:ascii="Times New Roman" w:hAnsi="Times New Roman" w:cs="Times New Roman"/>
          <w:sz w:val="24"/>
          <w:szCs w:val="24"/>
        </w:rPr>
        <w:t xml:space="preserve"> demostraron que la RMmp mejora la sensibilidad </w:t>
      </w:r>
      <w:r w:rsidRPr="00FA0E73">
        <w:rPr>
          <w:rFonts w:ascii="Times New Roman" w:hAnsi="Times New Roman" w:cs="Times New Roman"/>
          <w:sz w:val="24"/>
          <w:szCs w:val="24"/>
        </w:rPr>
        <w:lastRenderedPageBreak/>
        <w:t>diagnóstica respecto de la biopsia sistemática transrectal, incrementando la detección de CaPcs y reduciendo la identificación de tumores de bajo riesgo</w:t>
      </w:r>
      <w:r w:rsidRPr="00FA0E73">
        <w:rPr>
          <w:rFonts w:ascii="Times New Roman" w:hAnsi="Times New Roman" w:cs="Times New Roman"/>
          <w:sz w:val="24"/>
          <w:szCs w:val="24"/>
          <w:vertAlign w:val="superscript"/>
        </w:rPr>
        <w:t>3</w:t>
      </w:r>
      <w:r w:rsidRPr="00FA0E73">
        <w:rPr>
          <w:rFonts w:ascii="Times New Roman" w:hAnsi="Times New Roman" w:cs="Times New Roman"/>
          <w:sz w:val="24"/>
          <w:szCs w:val="24"/>
        </w:rPr>
        <w:t>.</w:t>
      </w:r>
    </w:p>
    <w:p w14:paraId="2E0E18D5"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No obstante, persiste controversia sobre el rol de la biopsia sistemática en presencia de lesiones visibles en la RM. El estudio TRIO</w:t>
      </w:r>
      <w:r w:rsidRPr="00FA0E73">
        <w:rPr>
          <w:rFonts w:ascii="Times New Roman" w:hAnsi="Times New Roman" w:cs="Times New Roman"/>
          <w:sz w:val="24"/>
          <w:szCs w:val="24"/>
          <w:vertAlign w:val="superscript"/>
        </w:rPr>
        <w:t>4</w:t>
      </w:r>
      <w:r w:rsidRPr="00FA0E73">
        <w:rPr>
          <w:rFonts w:ascii="Times New Roman" w:hAnsi="Times New Roman" w:cs="Times New Roman"/>
          <w:sz w:val="24"/>
          <w:szCs w:val="24"/>
        </w:rPr>
        <w:t xml:space="preserve"> mostró que la biopsia combinada (dirigida + sistemática) aumenta la detección de CaPcs y reduce la subclasificación histológica respecto de cada técnica en forma aislada. En paralelo, estudios sobre el concepto de “penumbra perilesional” evidencian que parte del beneficio de la biopsia sistemática proviene de muestrear regiones adyacentes a la lesión índice</w:t>
      </w:r>
      <w:r w:rsidRPr="00FA0E73">
        <w:rPr>
          <w:rFonts w:ascii="Times New Roman" w:hAnsi="Times New Roman" w:cs="Times New Roman"/>
          <w:sz w:val="24"/>
          <w:szCs w:val="24"/>
          <w:vertAlign w:val="superscript"/>
        </w:rPr>
        <w:t>5,6,7</w:t>
      </w:r>
      <w:r w:rsidRPr="00FA0E73">
        <w:rPr>
          <w:rFonts w:ascii="Times New Roman" w:hAnsi="Times New Roman" w:cs="Times New Roman"/>
          <w:sz w:val="24"/>
          <w:szCs w:val="24"/>
        </w:rPr>
        <w:t>. Más recientemente, un ensayo europeo publicado recientemente por Engel et al</w:t>
      </w:r>
      <w:r w:rsidRPr="00FA0E73">
        <w:rPr>
          <w:rFonts w:ascii="Times New Roman" w:hAnsi="Times New Roman" w:cs="Times New Roman"/>
          <w:sz w:val="24"/>
          <w:szCs w:val="24"/>
          <w:vertAlign w:val="superscript"/>
        </w:rPr>
        <w:t>8</w:t>
      </w:r>
      <w:r w:rsidRPr="00FA0E73">
        <w:rPr>
          <w:rFonts w:ascii="Times New Roman" w:hAnsi="Times New Roman" w:cs="Times New Roman"/>
          <w:sz w:val="24"/>
          <w:szCs w:val="24"/>
        </w:rPr>
        <w:t xml:space="preserve"> en el contexto de tamizaje poblacional reportó que la omisión de la biopsia sistemática redujo a la mitad el sobrediagnóstico, aunque a costa de retrasar el hallazgo de un pequeño número de tumores de riesgo intermedio.</w:t>
      </w:r>
    </w:p>
    <w:p w14:paraId="6DDB7499"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En este contexto, se hace necesario evaluar en series clínicas contemporáneas el aporte real de la biopsia sistemática añadida a la dirigida, considerando tanto la ganancia diagnóstica de CaPcs como el riesgo de sobrediagnóstico.</w:t>
      </w:r>
    </w:p>
    <w:p w14:paraId="17150DE4" w14:textId="77777777" w:rsidR="00796196" w:rsidRPr="00FA0E73" w:rsidRDefault="00796196" w:rsidP="00796196">
      <w:pPr>
        <w:spacing w:line="480" w:lineRule="auto"/>
        <w:jc w:val="both"/>
        <w:rPr>
          <w:rFonts w:ascii="Times New Roman" w:hAnsi="Times New Roman" w:cs="Times New Roman"/>
          <w:sz w:val="24"/>
          <w:szCs w:val="24"/>
        </w:rPr>
      </w:pPr>
    </w:p>
    <w:p w14:paraId="1DC2A47E" w14:textId="77777777" w:rsidR="00796196" w:rsidRPr="00FA0E73" w:rsidRDefault="00796196" w:rsidP="00796196">
      <w:pPr>
        <w:spacing w:line="480" w:lineRule="auto"/>
        <w:jc w:val="both"/>
        <w:rPr>
          <w:rFonts w:ascii="Times New Roman" w:hAnsi="Times New Roman" w:cs="Times New Roman"/>
          <w:b/>
          <w:bCs/>
          <w:sz w:val="24"/>
          <w:szCs w:val="24"/>
        </w:rPr>
      </w:pPr>
      <w:r w:rsidRPr="00FA0E73">
        <w:rPr>
          <w:rFonts w:ascii="Times New Roman" w:hAnsi="Times New Roman" w:cs="Times New Roman"/>
          <w:b/>
          <w:bCs/>
          <w:sz w:val="24"/>
          <w:szCs w:val="24"/>
        </w:rPr>
        <w:t>Material y Métodos</w:t>
      </w:r>
    </w:p>
    <w:p w14:paraId="4F2D463F" w14:textId="3CD38C36"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Se diseñó un estudio observacional, analítico y retrospectivo, basado en la revisión de fichas clínicas electrónicas de pacientes sometidos a biopsia prostática </w:t>
      </w:r>
      <w:r w:rsidR="00C91457">
        <w:rPr>
          <w:rFonts w:ascii="Times New Roman" w:hAnsi="Times New Roman" w:cs="Times New Roman"/>
          <w:sz w:val="24"/>
          <w:szCs w:val="24"/>
        </w:rPr>
        <w:t xml:space="preserve">por fusión guiada por software </w:t>
      </w:r>
      <w:r w:rsidRPr="00FA0E73">
        <w:rPr>
          <w:rFonts w:ascii="Times New Roman" w:hAnsi="Times New Roman" w:cs="Times New Roman"/>
          <w:sz w:val="24"/>
          <w:szCs w:val="24"/>
        </w:rPr>
        <w:t xml:space="preserve">en nuestro centro. </w:t>
      </w:r>
    </w:p>
    <w:p w14:paraId="16ECBBE0"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Fueron incluidos hombres mayores de 18 años sometidos a biopsia de próstata por fusión, cuya resonancia multiparamétrica mostró al menos una lesión índice categorizada como PI-RADS 3, 4 o 5. Se excluyeron aquellos casos en que el procedimiento no se completó, pacientes con </w:t>
      </w:r>
      <w:r w:rsidRPr="00FA0E73">
        <w:rPr>
          <w:rFonts w:ascii="Times New Roman" w:hAnsi="Times New Roman" w:cs="Times New Roman"/>
          <w:sz w:val="24"/>
          <w:szCs w:val="24"/>
        </w:rPr>
        <w:lastRenderedPageBreak/>
        <w:t>tratamiento oncológico vigente, así como aquellos cuya resonancia no permitió asignar un puntaje PI-RADS. También se descartaron registros clínicos o informes anatomopatológicos insuficientes para discriminar de manera independiente los resultados de la biopsia dirigida y la sistemática.</w:t>
      </w:r>
    </w:p>
    <w:p w14:paraId="12F043D0"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Todas las biopsias fueron realizadas mediante técnica de fusión asistida por software (Koelis Trinity®), vía transrectal, entre el 1 de enero de 2018 y el 30 de junio de 2025. La técnica de la biopsia sistemática fue a discreción del urólogo operador, tanto en ubicación como en el número de cilindros, siempre separados el lado derecho del izquierdo, sin distinción topográfica (ápex/medio/base). La biopsia dirigida al objetivo también fue a discreción del urólogo, generalmente entre 2 y 5 cilindros obtenidos. El protocolo fue aprobado por el comité de ética institucional y los datos se recopilaron de manera anonimizada para resguardar la confidencialidad de los pacientes. Se adhiere reporte a recomendaciones STROBE.</w:t>
      </w:r>
    </w:p>
    <w:p w14:paraId="26664853"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Se recolectaron variables clínicas y demográficas tales como edad, comorbilidades, uso de fármacos crónicos, valores de APE (antígeno prostático específico) total y libre, densidad de APE (dAPE), volumen prostático calculado en la resonancia multiparamétrica y hallazgos del tacto rectal. Se registraron además las características de la lesión índice (PI-RADS y tamaño en milímetros), así como las características del procedimiento. Del informe de anatomía patológica se extrajo, de manera diferenciada para cada componente de la biopsia (dirigida, sistemática izquierda y sistemática derecha), la presencia de cáncer, número de cilindros positivos y grado ISUP. Para efectos del estudio, se definió cáncer de próstata clínicamente significativo (CaPcs) como aquel con grado ISUP ≥2.</w:t>
      </w:r>
    </w:p>
    <w:p w14:paraId="3CF14FC0"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El cálculo del tamaño muestral se fundamentó en la naturaleza pareada del diseño, ya que todos los pacientes fueron sometidos simultáneamente a biopsia dirigida y sistemática. Se empleó la prueba de McNemar sobre proporciones de discordancia, considerando como efecto esperado el </w:t>
      </w:r>
      <w:r w:rsidRPr="00FA0E73">
        <w:rPr>
          <w:rFonts w:ascii="Times New Roman" w:hAnsi="Times New Roman" w:cs="Times New Roman"/>
          <w:sz w:val="24"/>
          <w:szCs w:val="24"/>
        </w:rPr>
        <w:lastRenderedPageBreak/>
        <w:t>incremento absoluto en la detección de CaPcs al añadir la biopsia sistemática. Según reportes previos, se asumieron tasas de detección de 49,6% para la biopsia dirigida y 58,2% para la combinada, con una proporción de pares discordantes positivos únicamente por la sistemática (p01) de 0,086 y prácticamente nula para el escenario inverso (p10≈0). Con un nivel de significación bilateral de 0,05 y una potencia del 90%, el tamaño calculado fue de 123 pares. Para cubrir incertidumbre en la proporción de discordancias, aplicar corrección por continuidad y contemplar pérdidas potenciales de datos, se adicionó un sobrecupo del 15%, estimándose un tamaño final de 141 pacientes como mínimo necesario.</w:t>
      </w:r>
    </w:p>
    <w:p w14:paraId="108D4A0D"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El análisis estadístico se realizó con STATA® versión 15.0. Las variables continuas se describieron como medianas y rangos intercuartílicos (IQR), y las categóricas como frecuencias absolutas y porcentajes. Para comparar las tasas de detección entre técnicas se aplicó la prueba de McNemar, reportando diferencias absolutas de riesgo (RD) con intervalos de confianza exactos al 95%. Los análisis se estratificaron por categorías PI-RADS (3, 4 y 5). Asimismo, se evaluó el riesgo de sobrediagnóstico de cáncer no clínicamente significativo (ISUP 1) atribuible al componente sistemático. </w:t>
      </w:r>
    </w:p>
    <w:p w14:paraId="175E8B46"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Para identificar factores asociados a la detección adicional de CaPcs al incorporar la biopsia sistemática, se desarrollaron modelos de regresión logística uni y multivariables. Las covariables preespecificadas incluyeron APE total, volumen prostático, densidad de APE, APE libre, categoría PI-RADS y tamaño de la lesión índice; la edad y otras variables clínicas relevantes fueron exploradas en análisis complementarios. Los resultados de los modelos se expresaron como Odds Ratios (OR) con intervalos de confianza del 95% y valores p bilaterales, considerando estadísticamente significativo un valor p inferior a 0,05.</w:t>
      </w:r>
    </w:p>
    <w:p w14:paraId="2111B8E6" w14:textId="77777777" w:rsidR="00796196" w:rsidRPr="00FA0E73" w:rsidRDefault="00796196" w:rsidP="00796196">
      <w:pPr>
        <w:spacing w:line="480" w:lineRule="auto"/>
        <w:jc w:val="both"/>
        <w:rPr>
          <w:rFonts w:ascii="Times New Roman" w:hAnsi="Times New Roman" w:cs="Times New Roman"/>
          <w:sz w:val="24"/>
          <w:szCs w:val="24"/>
        </w:rPr>
      </w:pPr>
    </w:p>
    <w:p w14:paraId="3FEF196F" w14:textId="77777777" w:rsidR="00796196" w:rsidRPr="00FA0E73" w:rsidRDefault="00796196" w:rsidP="00796196">
      <w:pPr>
        <w:spacing w:line="480" w:lineRule="auto"/>
        <w:jc w:val="both"/>
        <w:rPr>
          <w:rFonts w:ascii="Times New Roman" w:hAnsi="Times New Roman" w:cs="Times New Roman"/>
          <w:b/>
          <w:bCs/>
          <w:sz w:val="24"/>
          <w:szCs w:val="24"/>
        </w:rPr>
      </w:pPr>
      <w:r w:rsidRPr="00FA0E73">
        <w:rPr>
          <w:rFonts w:ascii="Times New Roman" w:hAnsi="Times New Roman" w:cs="Times New Roman"/>
          <w:b/>
          <w:bCs/>
          <w:sz w:val="24"/>
          <w:szCs w:val="24"/>
        </w:rPr>
        <w:lastRenderedPageBreak/>
        <w:t>Resultados</w:t>
      </w:r>
    </w:p>
    <w:p w14:paraId="52AF94E9"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Se identificaron 651 biopsias combinadas </w:t>
      </w:r>
      <w:r>
        <w:rPr>
          <w:rFonts w:ascii="Times New Roman" w:hAnsi="Times New Roman" w:cs="Times New Roman"/>
          <w:sz w:val="24"/>
          <w:szCs w:val="24"/>
        </w:rPr>
        <w:t xml:space="preserve">en 626 pacientes </w:t>
      </w:r>
      <w:r w:rsidRPr="00FA0E73">
        <w:rPr>
          <w:rFonts w:ascii="Times New Roman" w:hAnsi="Times New Roman" w:cs="Times New Roman"/>
          <w:sz w:val="24"/>
          <w:szCs w:val="24"/>
        </w:rPr>
        <w:t>durante el período de estudio</w:t>
      </w:r>
      <w:r>
        <w:rPr>
          <w:rFonts w:ascii="Times New Roman" w:hAnsi="Times New Roman" w:cs="Times New Roman"/>
          <w:sz w:val="24"/>
          <w:szCs w:val="24"/>
        </w:rPr>
        <w:t>.</w:t>
      </w:r>
      <w:r w:rsidRPr="00FA0E73">
        <w:rPr>
          <w:rFonts w:ascii="Times New Roman" w:hAnsi="Times New Roman" w:cs="Times New Roman"/>
          <w:sz w:val="24"/>
          <w:szCs w:val="24"/>
        </w:rPr>
        <w:t xml:space="preserve"> En la figura 1 se demuestra el flujograma de la obtención de los datos. La mediana de edad fue 65 años (RIC 59–71), con un APE total de 6,14 ng/mL (RIC 4,60–9,00) y volumen prostático de 49 mL (RIC 37–64). El tacto rectal fue sospechoso en el 16% de los casos, y el 80% de los pacientes no había tenido biopsias previas. La lesión índice correspondió a PI-RADS 3 en 14,5% de los casos, PI-RADS 4 en 63,9% y PI-RADS 5 en 21,5%. La mediana del total de cilindros obtenidos fue de 16 (RIC 15–18), de los cuales 4 (RIC 3–5) correspondieron a biopsias dirigidas sobre la lesión índice. En la Tabla 1 se demuestran las características de la población del estudio.</w:t>
      </w:r>
    </w:p>
    <w:p w14:paraId="34F08377" w14:textId="3ECDB05C"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La tasa global de detección de CaP fue </w:t>
      </w:r>
      <w:r w:rsidR="00F6275B">
        <w:rPr>
          <w:rFonts w:ascii="Times New Roman" w:hAnsi="Times New Roman" w:cs="Times New Roman"/>
          <w:sz w:val="24"/>
          <w:szCs w:val="24"/>
        </w:rPr>
        <w:t>71.3</w:t>
      </w:r>
      <w:r w:rsidRPr="00FA0E73">
        <w:rPr>
          <w:rFonts w:ascii="Times New Roman" w:hAnsi="Times New Roman" w:cs="Times New Roman"/>
          <w:sz w:val="24"/>
          <w:szCs w:val="24"/>
        </w:rPr>
        <w:t>% y 43,8% para CaPcs. Al estratificar por PI-RADS, la detección de cualquier cáncer fue de 34,8%, 71,2% y 92,4% para PI-RADS 3, 4 y 5, respectivamente, mientras que para CaPcs las tasas fueron de 14,6%, 41,6% y 70,5%. En la tabla 2 se muestra los resultados generales de las biopsias por fusión combinada</w:t>
      </w:r>
      <w:r w:rsidR="003D63C7">
        <w:rPr>
          <w:rFonts w:ascii="Times New Roman" w:hAnsi="Times New Roman" w:cs="Times New Roman"/>
          <w:sz w:val="24"/>
          <w:szCs w:val="24"/>
        </w:rPr>
        <w:t>.</w:t>
      </w:r>
    </w:p>
    <w:p w14:paraId="09F03763" w14:textId="07448875"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La comparación directa entre técnicas evidenció que la adición de la biopsia sistemática permitió detectar CaPcs en 5</w:t>
      </w:r>
      <w:r w:rsidR="00664283">
        <w:rPr>
          <w:rFonts w:ascii="Times New Roman" w:hAnsi="Times New Roman" w:cs="Times New Roman"/>
          <w:sz w:val="24"/>
          <w:szCs w:val="24"/>
        </w:rPr>
        <w:t>8</w:t>
      </w:r>
      <w:r w:rsidRPr="00FA0E73">
        <w:rPr>
          <w:rFonts w:ascii="Times New Roman" w:hAnsi="Times New Roman" w:cs="Times New Roman"/>
          <w:sz w:val="24"/>
          <w:szCs w:val="24"/>
        </w:rPr>
        <w:t xml:space="preserve"> pacientes adicionales (</w:t>
      </w:r>
      <w:r w:rsidR="00664283">
        <w:rPr>
          <w:rFonts w:ascii="Times New Roman" w:hAnsi="Times New Roman" w:cs="Times New Roman"/>
          <w:sz w:val="24"/>
          <w:szCs w:val="24"/>
        </w:rPr>
        <w:t>8,9</w:t>
      </w:r>
      <w:r w:rsidRPr="00FA0E73">
        <w:rPr>
          <w:rFonts w:ascii="Times New Roman" w:hAnsi="Times New Roman" w:cs="Times New Roman"/>
          <w:sz w:val="24"/>
          <w:szCs w:val="24"/>
        </w:rPr>
        <w:t xml:space="preserve">%), en los cuales la biopsia dirigida fue negativa o sólo mostró ISUP 1. En términos absolutos, la proporción de detección exclusiva por la biopsia sistemática fue de </w:t>
      </w:r>
      <w:r w:rsidR="00AB7470">
        <w:rPr>
          <w:rFonts w:ascii="Times New Roman" w:hAnsi="Times New Roman" w:cs="Times New Roman"/>
          <w:sz w:val="24"/>
          <w:szCs w:val="24"/>
        </w:rPr>
        <w:t>8,9</w:t>
      </w:r>
      <w:r w:rsidRPr="00FA0E73">
        <w:rPr>
          <w:rFonts w:ascii="Times New Roman" w:hAnsi="Times New Roman" w:cs="Times New Roman"/>
          <w:sz w:val="24"/>
          <w:szCs w:val="24"/>
        </w:rPr>
        <w:t>% (IC95% 6,5–10,9), con una diferencia absoluta de riesgo frente a la dirigida estadísticamente significativa en la prueba de McNemar (p&lt;0,01). Entre estos casos, un 26% correspondió a lesiones detectadas en la zona contralateral al objetivo de resonancia. En la Tabla 3, se analiza la distribución de los pacientes con biopsia sistemática con ISUP≥2, con biopsia a objetivo negativa o ISUP 1, donde claramente predomina el hallazgo de enfermedad ISUP 2 con un 8</w:t>
      </w:r>
      <w:r w:rsidR="008E3F08">
        <w:rPr>
          <w:rFonts w:ascii="Times New Roman" w:hAnsi="Times New Roman" w:cs="Times New Roman"/>
          <w:sz w:val="24"/>
          <w:szCs w:val="24"/>
        </w:rPr>
        <w:t>6,2</w:t>
      </w:r>
      <w:r w:rsidRPr="00FA0E73">
        <w:rPr>
          <w:rFonts w:ascii="Times New Roman" w:hAnsi="Times New Roman" w:cs="Times New Roman"/>
          <w:sz w:val="24"/>
          <w:szCs w:val="24"/>
        </w:rPr>
        <w:t>%.</w:t>
      </w:r>
      <w:r w:rsidR="003D63C7">
        <w:rPr>
          <w:rFonts w:ascii="Times New Roman" w:hAnsi="Times New Roman" w:cs="Times New Roman"/>
          <w:sz w:val="24"/>
          <w:szCs w:val="24"/>
        </w:rPr>
        <w:t xml:space="preserve"> En la Figura 2, se muestra los resultados de cada método de biopsia por separado</w:t>
      </w:r>
      <w:r w:rsidR="00581213">
        <w:rPr>
          <w:rFonts w:ascii="Times New Roman" w:hAnsi="Times New Roman" w:cs="Times New Roman"/>
          <w:sz w:val="24"/>
          <w:szCs w:val="24"/>
        </w:rPr>
        <w:t xml:space="preserve"> (</w:t>
      </w:r>
      <w:proofErr w:type="gramStart"/>
      <w:r w:rsidR="00581213">
        <w:rPr>
          <w:rFonts w:ascii="Times New Roman" w:hAnsi="Times New Roman" w:cs="Times New Roman"/>
          <w:sz w:val="24"/>
          <w:szCs w:val="24"/>
        </w:rPr>
        <w:t>target</w:t>
      </w:r>
      <w:proofErr w:type="gramEnd"/>
      <w:r w:rsidR="00581213">
        <w:rPr>
          <w:rFonts w:ascii="Times New Roman" w:hAnsi="Times New Roman" w:cs="Times New Roman"/>
          <w:sz w:val="24"/>
          <w:szCs w:val="24"/>
        </w:rPr>
        <w:t>, sistemática y combinada).</w:t>
      </w:r>
    </w:p>
    <w:p w14:paraId="5F898B8F"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lastRenderedPageBreak/>
        <w:t>El análisis por tamaño de la lesión índice no mostró asociación con la probabilidad de detección exclusiva mediante la sistemática (OR 0,99 por mm; IC95% 0,95–1,05; p=0,93). De igual forma, las categorías PI-RADS no modificaron significativamente la proporción de detecciones adicionales, aunque se observó una tendencia no significativa a mayor rendimiento en lesiones PI-RADS 4 y 5 frente a PI-RADS 3.</w:t>
      </w:r>
    </w:p>
    <w:p w14:paraId="3ABBC870"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En los modelos univariables, el volumen prostático más grande se asoció con menor probabilidad de detección exclusiva en la sistemática (p=0,049), mientras que la densidad de APE se asoció de manera positiva (OR 2,11; IC95% 1,18–3,76; p=0,019). El APE total y el APE libre no mostraron asociaciones significativas, probablemente limitado por el bajo número de observaciones disponibles en el caso de APE libre. En los modelos multivariables ajustados por PI-RADS y tamaño de la lesión, ninguna de estas covariables mantuvo significancia estadística independiente, aunque se mantuvo la tendencia observada para la densidad de APE.</w:t>
      </w:r>
    </w:p>
    <w:p w14:paraId="51054235"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Respecto al sobrediagnóstico, se identificaron 167 pacientes (25,7% de la cohorte) con cáncer clínicamente no significativo (ISUP 1). De ellos, 37 casos fueron detectados únicamente por la sistemática, mientras que 46 lo fueron exclusivamente por la dirigida. En total, la adición de la sistemática representó un incremento absoluto de 5,7% en el diagnóstico de cáncer indolente, diferencia que no alcanzó significancia estadística en la prueba de McNemar (p=0,32). El análisis de regresión logística no mostró asociación consistente entre la detección exclusiva de tumores indolentes y variables clínicas como PI-RADS, tamaño de la lesión, APE total, volumen prostático o densidad de APE. </w:t>
      </w:r>
    </w:p>
    <w:p w14:paraId="51C9DD12"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En cuanto a las complicaciones, se reportaron 4 prostatitis agudas (0,6%), 2 retenciones de orina, 1 fisura anal que requirió cirugía (única Clavien-Dindo III) y 1 caso de dolor anal persistente. Tasa global de complicaciones reportada en nuestra serie es del 1,2%. </w:t>
      </w:r>
    </w:p>
    <w:p w14:paraId="4832D202" w14:textId="77777777" w:rsidR="00796196" w:rsidRPr="00FA0E73" w:rsidRDefault="00796196" w:rsidP="00796196">
      <w:pPr>
        <w:spacing w:line="480" w:lineRule="auto"/>
        <w:jc w:val="both"/>
        <w:rPr>
          <w:rFonts w:ascii="Times New Roman" w:hAnsi="Times New Roman" w:cs="Times New Roman"/>
          <w:b/>
          <w:bCs/>
          <w:sz w:val="24"/>
          <w:szCs w:val="24"/>
        </w:rPr>
      </w:pPr>
      <w:r w:rsidRPr="00FA0E73">
        <w:rPr>
          <w:rFonts w:ascii="Times New Roman" w:hAnsi="Times New Roman" w:cs="Times New Roman"/>
          <w:b/>
          <w:bCs/>
          <w:sz w:val="24"/>
          <w:szCs w:val="24"/>
        </w:rPr>
        <w:lastRenderedPageBreak/>
        <w:t>Discusión</w:t>
      </w:r>
    </w:p>
    <w:p w14:paraId="60AF61BA"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En esta cohorte contemporánea de pacientes sometidos a biopsia prostática mediante fusión por software, la tasa de detección de CaPcs fue de 43,8%, con rendimientos crecientes en función del PI-RADS de la lesión índice. Estos resultados son consistentes con lo reportado en series internacionales y confirman el valor de la RM como herramienta de selección para la biopsia dirigida.</w:t>
      </w:r>
    </w:p>
    <w:p w14:paraId="434515F4"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El análisis pareado mostró que la adición de la biopsia sistemática a la dirigida incrementó en ~9% la detección de cáncer clínicamente significativo, diferencia estadísticamente significativa y clínicamente relevante. Este beneficio se mantuvo en los subgrupos de PI-RADS 4 y 5, mientras que en PI-RADS 3 la diferencia no alcanzó significación, lo que sugiere que el valor agregado de la sistemática aumenta con lesiones de mayor sospecha. En contraste, la adición de la sistemática no incrementó de manera significativa la detección de cánceres ISUP 1, indicando que el principal aporte de la combinación se concentra en enfermedad clínicamente relevante, sin un aumento sustancial de sobrediagnóstico.</w:t>
      </w:r>
    </w:p>
    <w:p w14:paraId="4C68155F"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Nuestros hallazgos concuerdan con lo descrito por Ahdoot et al. y otros estudios recientes, en los que la estrategia combinada supera en rendimiento tanto a la dirigida como a la sistemática por separado para la detección de CaP clínicamente significativo. En nuestra serie, aproximadamente uno de cada once casos relevantes habría pasado desapercibido si se hubiera omitido la sistemática, reforzando la necesidad de mantenerla como parte de la estrategia diagnóstica estándar.</w:t>
      </w:r>
    </w:p>
    <w:p w14:paraId="5008AE49"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Por otro lado, el análisis multivariado que incluyó variables clínicas y de imagen —APE total, volumen prostático, densidad de APE, APE libre, tamaño de la lesión y categoría PI-RADS— no identificó predictores independientes que permitieran anticipar qué pacientes se beneficiarían </w:t>
      </w:r>
      <w:r w:rsidRPr="00FA0E73">
        <w:rPr>
          <w:rFonts w:ascii="Times New Roman" w:hAnsi="Times New Roman" w:cs="Times New Roman"/>
          <w:sz w:val="24"/>
          <w:szCs w:val="24"/>
        </w:rPr>
        <w:lastRenderedPageBreak/>
        <w:t>específicamente de la adición de la biopsia sistemática. Esta ausencia de factores discriminantes coincide con lo reportado en la literatura y limita la posibilidad de seleccionar de forma segura subgrupos en los que pudiera omitirse la sistemática, como demostró Fletcher et al</w:t>
      </w:r>
      <w:r w:rsidRPr="00FA0E73">
        <w:rPr>
          <w:rFonts w:ascii="Times New Roman" w:hAnsi="Times New Roman" w:cs="Times New Roman"/>
          <w:sz w:val="24"/>
          <w:szCs w:val="24"/>
          <w:vertAlign w:val="superscript"/>
        </w:rPr>
        <w:t>9</w:t>
      </w:r>
      <w:r w:rsidRPr="00FA0E73">
        <w:rPr>
          <w:rFonts w:ascii="Times New Roman" w:hAnsi="Times New Roman" w:cs="Times New Roman"/>
          <w:sz w:val="24"/>
          <w:szCs w:val="24"/>
        </w:rPr>
        <w:t xml:space="preserve"> recientemente.</w:t>
      </w:r>
    </w:p>
    <w:p w14:paraId="7812F903" w14:textId="2E853C82"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Finalmente, la tasa de complicaciones en nuestra serie fue baja (1,2%), lo que respalda la seguridad del procedimiento combinado en nuestro centro</w:t>
      </w:r>
      <w:r w:rsidR="00E92884">
        <w:rPr>
          <w:rFonts w:ascii="Times New Roman" w:hAnsi="Times New Roman" w:cs="Times New Roman"/>
          <w:sz w:val="24"/>
          <w:szCs w:val="24"/>
        </w:rPr>
        <w:t xml:space="preserve">. </w:t>
      </w:r>
      <w:r w:rsidRPr="00FA0E73">
        <w:rPr>
          <w:rFonts w:ascii="Times New Roman" w:hAnsi="Times New Roman" w:cs="Times New Roman"/>
          <w:sz w:val="24"/>
          <w:szCs w:val="24"/>
        </w:rPr>
        <w:t>Si bien la toma de cilindros adicionales podría asociarse teóricamente a un mayor riesgo, en la práctica el impacto fue mínimo. Esto concuerda con el trabajo de Mian et al</w:t>
      </w:r>
      <w:r w:rsidRPr="00FA0E73">
        <w:rPr>
          <w:rFonts w:ascii="Times New Roman" w:hAnsi="Times New Roman" w:cs="Times New Roman"/>
          <w:sz w:val="24"/>
          <w:szCs w:val="24"/>
          <w:vertAlign w:val="superscript"/>
        </w:rPr>
        <w:t>10</w:t>
      </w:r>
      <w:r w:rsidRPr="00FA0E73">
        <w:rPr>
          <w:rFonts w:ascii="Times New Roman" w:hAnsi="Times New Roman" w:cs="Times New Roman"/>
          <w:sz w:val="24"/>
          <w:szCs w:val="24"/>
        </w:rPr>
        <w:t>.</w:t>
      </w:r>
      <w:r w:rsidR="00E92884">
        <w:rPr>
          <w:rFonts w:ascii="Times New Roman" w:hAnsi="Times New Roman" w:cs="Times New Roman"/>
          <w:sz w:val="24"/>
          <w:szCs w:val="24"/>
        </w:rPr>
        <w:t xml:space="preserve"> </w:t>
      </w:r>
    </w:p>
    <w:p w14:paraId="0AE7E7C5" w14:textId="557722BF"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Nuestro estudio tiene limitaciones: el diseño retrospectivo y unicéntrico puede introducir sesgos de selección</w:t>
      </w:r>
      <w:r w:rsidR="00A67BBF">
        <w:rPr>
          <w:rFonts w:ascii="Times New Roman" w:hAnsi="Times New Roman" w:cs="Times New Roman"/>
          <w:sz w:val="24"/>
          <w:szCs w:val="24"/>
        </w:rPr>
        <w:t xml:space="preserve"> y reporte, además de</w:t>
      </w:r>
      <w:r w:rsidRPr="00FA0E73">
        <w:rPr>
          <w:rFonts w:ascii="Times New Roman" w:hAnsi="Times New Roman" w:cs="Times New Roman"/>
          <w:sz w:val="24"/>
          <w:szCs w:val="24"/>
        </w:rPr>
        <w:t xml:space="preserve"> limitar la generalización; el uso de la biopsia como referencia en lugar de prostatectomía radical para toda la cohorte restringe la correlación histopatológica completa y el modelo multivariado estuvo limitado por el número de eventos. Aun así, el tamaño de muestra robusto y el uso sistemático de fusión asistida por software aportan solidez a los hallazgos.</w:t>
      </w:r>
    </w:p>
    <w:p w14:paraId="7DB337D2"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En conjunto, nuestros resultados confirman que la biopsia combinada optimiza la detección de cáncer de próstata clínicamente significativo en pacientes con lesiones PI-RADS 3–5, sin incrementar de forma relevante el diagnóstico de tumores indolentes. Ante la falta de predictores confiables para identificar casos en los que la sistemática puede omitirse, la evidencia disponible apoya su mantención rutinaria como parte del abordaje diagnóstico estándar.</w:t>
      </w:r>
    </w:p>
    <w:p w14:paraId="5F716986" w14:textId="77777777" w:rsidR="00796196" w:rsidRPr="00FA0E73" w:rsidRDefault="00796196" w:rsidP="00796196">
      <w:pPr>
        <w:spacing w:line="480" w:lineRule="auto"/>
        <w:jc w:val="both"/>
        <w:rPr>
          <w:rFonts w:ascii="Times New Roman" w:hAnsi="Times New Roman" w:cs="Times New Roman"/>
          <w:sz w:val="24"/>
          <w:szCs w:val="24"/>
        </w:rPr>
      </w:pPr>
    </w:p>
    <w:p w14:paraId="1CEA2BCC" w14:textId="77777777" w:rsidR="00796196" w:rsidRPr="00FA0E73" w:rsidRDefault="00796196" w:rsidP="00796196">
      <w:pPr>
        <w:spacing w:line="480" w:lineRule="auto"/>
        <w:jc w:val="both"/>
        <w:rPr>
          <w:rFonts w:ascii="Times New Roman" w:hAnsi="Times New Roman" w:cs="Times New Roman"/>
          <w:b/>
          <w:bCs/>
          <w:sz w:val="24"/>
          <w:szCs w:val="24"/>
        </w:rPr>
      </w:pPr>
      <w:r w:rsidRPr="00FA0E73">
        <w:rPr>
          <w:rFonts w:ascii="Times New Roman" w:hAnsi="Times New Roman" w:cs="Times New Roman"/>
          <w:b/>
          <w:bCs/>
          <w:sz w:val="24"/>
          <w:szCs w:val="24"/>
        </w:rPr>
        <w:t>Conclusiones</w:t>
      </w:r>
    </w:p>
    <w:p w14:paraId="5E9EFD16" w14:textId="1DA746CA"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 xml:space="preserve">En nuestra cohorte sometida a biopsia por fusión asistida por software, la adición de cilindros sistemáticos bilateralmente a la biopsia dirigida incrementó de manera clínicamente relevante la </w:t>
      </w:r>
      <w:r w:rsidRPr="00FA0E73">
        <w:rPr>
          <w:rFonts w:ascii="Times New Roman" w:hAnsi="Times New Roman" w:cs="Times New Roman"/>
          <w:sz w:val="24"/>
          <w:szCs w:val="24"/>
        </w:rPr>
        <w:lastRenderedPageBreak/>
        <w:t xml:space="preserve">detección de cáncer de próstata clínicamente significativo, con una ganancia aproximada del </w:t>
      </w:r>
      <w:r w:rsidR="00CE6975">
        <w:rPr>
          <w:rFonts w:ascii="Times New Roman" w:hAnsi="Times New Roman" w:cs="Times New Roman"/>
          <w:sz w:val="24"/>
          <w:szCs w:val="24"/>
        </w:rPr>
        <w:t>9</w:t>
      </w:r>
      <w:r w:rsidRPr="00FA0E73">
        <w:rPr>
          <w:rFonts w:ascii="Times New Roman" w:hAnsi="Times New Roman" w:cs="Times New Roman"/>
          <w:sz w:val="24"/>
          <w:szCs w:val="24"/>
        </w:rPr>
        <w:t>% respecto de la dirigida sola y el 26% de ellos con hallazgos en el lóbulo contralateral a la lesión índice. Este mayor rendimiento no se tradujo en un aumento significativo del diagnóstico de tumores indolentes (ISUP 1) y se acompañó de una tasa baja de complicaciones, lo que respalda la seguridad del abordaje combinado en nuestro centro.</w:t>
      </w:r>
    </w:p>
    <w:p w14:paraId="146015E1"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No identificamos predictores clínicos o de imagen que permitan seleccionar a los pacientes en los que pudiera omitirse la biopsia sistemática sin sacrificar detección de enfermedad relevante; el beneficio fue más consistente en lesiones PI-RADS 4–5, mientras que en PI-RADS 3 la ventaja fue menor. En ausencia de marcadores sólidos para descartar enfermedad invisible a la RM, nuestros resultados apoyan mantener la biopsia sistemática junto a la dirigida como estrategia estándar para maximizar la sensibilidad diagnóstica con un impacto acotado en sobrediagnóstico y morbilidad. La eventual omisión de la biopsia sistemática debería reservarse a escenarios cuidadosamente seleccionados e idealmente en el marco de protocolos prospectivos de investigación.</w:t>
      </w:r>
    </w:p>
    <w:p w14:paraId="453406E5" w14:textId="77777777" w:rsidR="00796196" w:rsidRPr="00FA0E73" w:rsidRDefault="00796196" w:rsidP="00796196">
      <w:pPr>
        <w:spacing w:line="480" w:lineRule="auto"/>
        <w:jc w:val="both"/>
        <w:rPr>
          <w:rFonts w:ascii="Times New Roman" w:hAnsi="Times New Roman" w:cs="Times New Roman"/>
          <w:b/>
          <w:bCs/>
          <w:sz w:val="24"/>
          <w:szCs w:val="24"/>
          <w:lang w:val="en-US"/>
        </w:rPr>
      </w:pPr>
      <w:r w:rsidRPr="00FA0E73">
        <w:rPr>
          <w:rFonts w:ascii="Times New Roman" w:hAnsi="Times New Roman" w:cs="Times New Roman"/>
          <w:b/>
          <w:bCs/>
          <w:sz w:val="24"/>
          <w:szCs w:val="24"/>
          <w:lang w:val="en-US"/>
        </w:rPr>
        <w:t>Bibliografía</w:t>
      </w:r>
    </w:p>
    <w:p w14:paraId="77F954D5"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Ahmed HU, El-Shater Bosaily A, Brown LC, Gabe R, Kaplan R, Parmar MK, et al. Diagnostic accuracy of multiparametric MRI and TRUS biopsy in prostate cancer (PROMIS): a paired validating confirmatory study. Lancet. 2017;389(10071):815-22.</w:t>
      </w:r>
    </w:p>
    <w:p w14:paraId="333860D2"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rPr>
        <w:t xml:space="preserve">Kasivisvanathan V, Rannikko AS, Borghi M, Panebianco V, Mynderse LA, Vaarala MH, et al. </w:t>
      </w:r>
      <w:r w:rsidRPr="00FA0E73">
        <w:rPr>
          <w:rFonts w:ascii="Times New Roman" w:hAnsi="Times New Roman" w:cs="Times New Roman"/>
          <w:sz w:val="24"/>
          <w:szCs w:val="24"/>
          <w:lang w:val="en-US"/>
        </w:rPr>
        <w:t>MRI-targeted or standard biopsy for prostate-cancer diagnosis. N Engl J Med. 2018;378(19):1767-77.</w:t>
      </w:r>
    </w:p>
    <w:p w14:paraId="14E7326E"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rPr>
        <w:t xml:space="preserve">van der Leest M, Cornel E, Israël B, Hendriks R, Padhani AR, Hoogenboom M, et al. </w:t>
      </w:r>
      <w:r w:rsidRPr="00FA0E73">
        <w:rPr>
          <w:rFonts w:ascii="Times New Roman" w:hAnsi="Times New Roman" w:cs="Times New Roman"/>
          <w:sz w:val="24"/>
          <w:szCs w:val="24"/>
          <w:lang w:val="en-US"/>
        </w:rPr>
        <w:t xml:space="preserve">Head-to-head comparison of TRUS-guided prostate biopsy versus multiparametric prostate MRI </w:t>
      </w:r>
      <w:r w:rsidRPr="00FA0E73">
        <w:rPr>
          <w:rFonts w:ascii="Times New Roman" w:hAnsi="Times New Roman" w:cs="Times New Roman"/>
          <w:sz w:val="24"/>
          <w:szCs w:val="24"/>
          <w:lang w:val="en-US"/>
        </w:rPr>
        <w:lastRenderedPageBreak/>
        <w:t>with subsequent MR-guided biopsy in biopsy-naïve men with elevated PSA: a large prospective multicenter clinical study. Eur Urol. 2019;75(4):570-8.</w:t>
      </w:r>
    </w:p>
    <w:p w14:paraId="04866D26"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Ahdoot M, Wilbur AR, Reese SE, Lebastchi AH, Mehralivand S, Gomella PT, et al. MRI-targeted, systematic, and combined biopsy for prostate cancer diagnosis. N Engl J Med. 2020;382(10):917-28.</w:t>
      </w:r>
    </w:p>
    <w:p w14:paraId="3415ED59"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Brisbane WG, Priester AM, Ballon J, Kwan L, Delfin MK, Felker ER, et al. Targeted prostate biopsy: Umbra, penumbra, and value of perilesional sampling. Eur Urol. 2022;82(3):303-10.</w:t>
      </w:r>
    </w:p>
    <w:p w14:paraId="483F3F0E"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 xml:space="preserve">Diamand R, Hollans M, Lefebvre Y, Sirtaine N, Limani K, Hawaux E, et al. The role of perilesional and multiparametric MRI-targeted biopsies to reduce the risk of </w:t>
      </w:r>
      <w:proofErr w:type="gramStart"/>
      <w:r w:rsidRPr="00FA0E73">
        <w:rPr>
          <w:rFonts w:ascii="Times New Roman" w:hAnsi="Times New Roman" w:cs="Times New Roman"/>
          <w:sz w:val="24"/>
          <w:szCs w:val="24"/>
          <w:lang w:val="en-US"/>
        </w:rPr>
        <w:t>upgrading at</w:t>
      </w:r>
      <w:proofErr w:type="gramEnd"/>
      <w:r w:rsidRPr="00FA0E73">
        <w:rPr>
          <w:rFonts w:ascii="Times New Roman" w:hAnsi="Times New Roman" w:cs="Times New Roman"/>
          <w:sz w:val="24"/>
          <w:szCs w:val="24"/>
          <w:lang w:val="en-US"/>
        </w:rPr>
        <w:t xml:space="preserve"> radical prostatectomy pathology: a retrospective monocentric study. Urol Oncol. 2022;40(4</w:t>
      </w:r>
      <w:proofErr w:type="gramStart"/>
      <w:r w:rsidRPr="00FA0E73">
        <w:rPr>
          <w:rFonts w:ascii="Times New Roman" w:hAnsi="Times New Roman" w:cs="Times New Roman"/>
          <w:sz w:val="24"/>
          <w:szCs w:val="24"/>
          <w:lang w:val="en-US"/>
        </w:rPr>
        <w:t>):192.e</w:t>
      </w:r>
      <w:proofErr w:type="gramEnd"/>
      <w:r w:rsidRPr="00FA0E73">
        <w:rPr>
          <w:rFonts w:ascii="Times New Roman" w:hAnsi="Times New Roman" w:cs="Times New Roman"/>
          <w:sz w:val="24"/>
          <w:szCs w:val="24"/>
          <w:lang w:val="en-US"/>
        </w:rPr>
        <w:t>11-192.e17.</w:t>
      </w:r>
    </w:p>
    <w:p w14:paraId="3D62E01E"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Baccaglini W, Glina FPA, Pazeto CL, Bernardo WM, Sanchez-Salas R. mpMRI-targeted biopsy versus systematic biopsy for clinically significant prostate cancer diagnosis: a systematic review and meta-analysis. Curr Opin Urol. 2020;30(5):711-9.</w:t>
      </w:r>
    </w:p>
    <w:p w14:paraId="153CA52F"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 xml:space="preserve">Engel JC, Eklund M, Jäderling F, Palsdottir T, Falagario U, Discacciati A, et al. Diagnostic effects of omitting systematic biopsies in prostate cancer screening. Eur Urol Oncol. </w:t>
      </w:r>
      <w:proofErr w:type="gramStart"/>
      <w:r w:rsidRPr="00FA0E73">
        <w:rPr>
          <w:rFonts w:ascii="Times New Roman" w:hAnsi="Times New Roman" w:cs="Times New Roman"/>
          <w:sz w:val="24"/>
          <w:szCs w:val="24"/>
          <w:lang w:val="en-US"/>
        </w:rPr>
        <w:t>2025;8:435</w:t>
      </w:r>
      <w:proofErr w:type="gramEnd"/>
      <w:r w:rsidRPr="00FA0E73">
        <w:rPr>
          <w:rFonts w:ascii="Times New Roman" w:hAnsi="Times New Roman" w:cs="Times New Roman"/>
          <w:sz w:val="24"/>
          <w:szCs w:val="24"/>
          <w:lang w:val="en-US"/>
        </w:rPr>
        <w:t>-43.</w:t>
      </w:r>
    </w:p>
    <w:p w14:paraId="5299BE16"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Fletcher SA, Alshak MN, Lee S, Singla N, Han M, Allaf ME, et al. Clinically significant prostate cancer detected by systematic biopsy in patients with MRI lesions. BJU Int. 2025 Oct;136(4):669-674.</w:t>
      </w:r>
    </w:p>
    <w:p w14:paraId="6F1E2CCD" w14:textId="77777777" w:rsidR="00796196" w:rsidRPr="00FA0E73" w:rsidRDefault="00796196" w:rsidP="00796196">
      <w:pPr>
        <w:pStyle w:val="Prrafodelista"/>
        <w:numPr>
          <w:ilvl w:val="0"/>
          <w:numId w:val="2"/>
        </w:numPr>
        <w:spacing w:line="480" w:lineRule="auto"/>
        <w:ind w:left="709" w:hanging="639"/>
        <w:jc w:val="both"/>
        <w:rPr>
          <w:rFonts w:ascii="Times New Roman" w:hAnsi="Times New Roman" w:cs="Times New Roman"/>
          <w:sz w:val="24"/>
          <w:szCs w:val="24"/>
          <w:lang w:val="en-US"/>
        </w:rPr>
      </w:pPr>
      <w:r w:rsidRPr="00FA0E73">
        <w:rPr>
          <w:rFonts w:ascii="Times New Roman" w:hAnsi="Times New Roman" w:cs="Times New Roman"/>
          <w:sz w:val="24"/>
          <w:szCs w:val="24"/>
          <w:lang w:val="en-US"/>
        </w:rPr>
        <w:t>Mian BM, Feustel PJ, Aziz A, Kaufman RP Jr, Bernstein A, Avulova S, et al. Complications following transrectal and transperineal prostate biopsy: results of the ProBE-PC randomized clinical trial. J Urol. 2024;211(2):205-13.</w:t>
      </w:r>
    </w:p>
    <w:p w14:paraId="73A9BA5E" w14:textId="77777777" w:rsidR="00796196" w:rsidRPr="00FA0E73" w:rsidRDefault="00796196" w:rsidP="00796196">
      <w:pPr>
        <w:spacing w:line="480" w:lineRule="auto"/>
        <w:jc w:val="both"/>
        <w:rPr>
          <w:rFonts w:ascii="Times New Roman" w:hAnsi="Times New Roman" w:cs="Times New Roman"/>
          <w:sz w:val="24"/>
          <w:szCs w:val="24"/>
          <w:lang w:val="en-US"/>
        </w:rPr>
      </w:pPr>
    </w:p>
    <w:p w14:paraId="515F98C4" w14:textId="77777777" w:rsidR="00796196" w:rsidRPr="00FA0E73" w:rsidRDefault="00796196" w:rsidP="00796196">
      <w:pPr>
        <w:spacing w:line="480" w:lineRule="auto"/>
        <w:jc w:val="both"/>
        <w:rPr>
          <w:rFonts w:ascii="Times New Roman" w:hAnsi="Times New Roman" w:cs="Times New Roman"/>
          <w:b/>
          <w:bCs/>
          <w:sz w:val="24"/>
          <w:szCs w:val="24"/>
        </w:rPr>
      </w:pPr>
      <w:r w:rsidRPr="00FA0E73">
        <w:rPr>
          <w:rFonts w:ascii="Times New Roman" w:hAnsi="Times New Roman" w:cs="Times New Roman"/>
          <w:b/>
          <w:bCs/>
          <w:sz w:val="24"/>
          <w:szCs w:val="24"/>
        </w:rPr>
        <w:t>Consideraciones Éticas</w:t>
      </w:r>
    </w:p>
    <w:p w14:paraId="5B747157"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Protección de personas y animales. Los autores declaran que para esta investigación no se han realizado experimentos en seres humanos ni en animales.</w:t>
      </w:r>
    </w:p>
    <w:p w14:paraId="1D2D0427" w14:textId="77777777" w:rsidR="00796196" w:rsidRPr="00FA0E73" w:rsidRDefault="00796196" w:rsidP="00796196">
      <w:pPr>
        <w:spacing w:line="480" w:lineRule="auto"/>
        <w:jc w:val="both"/>
        <w:rPr>
          <w:rFonts w:ascii="Times New Roman" w:hAnsi="Times New Roman" w:cs="Times New Roman"/>
          <w:sz w:val="24"/>
          <w:szCs w:val="24"/>
        </w:rPr>
      </w:pPr>
      <w:r w:rsidRPr="00FA0E73">
        <w:rPr>
          <w:rFonts w:ascii="Times New Roman" w:hAnsi="Times New Roman" w:cs="Times New Roman"/>
          <w:sz w:val="24"/>
          <w:szCs w:val="24"/>
        </w:rPr>
        <w:t>Confidencialidad, consentimiento informado y aprobación ética. Los autores han obtenido la aprobación del Comité de Ética para el análisis de datos clínicos obtenidos de forma rutinaria y anonimizados, por lo que no fue necesario el consentimiento informado. Se han seguido las recomendaciones pertinentes.</w:t>
      </w:r>
    </w:p>
    <w:p w14:paraId="63051512" w14:textId="77777777" w:rsidR="00796196" w:rsidRPr="00FA0E73" w:rsidRDefault="00796196" w:rsidP="00796196">
      <w:pPr>
        <w:spacing w:line="480" w:lineRule="auto"/>
        <w:jc w:val="both"/>
        <w:rPr>
          <w:rFonts w:ascii="Times New Roman" w:hAnsi="Times New Roman" w:cs="Times New Roman"/>
          <w:b/>
          <w:sz w:val="24"/>
          <w:szCs w:val="24"/>
        </w:rPr>
      </w:pPr>
      <w:r w:rsidRPr="00FA0E73">
        <w:rPr>
          <w:rFonts w:ascii="Times New Roman" w:hAnsi="Times New Roman" w:cs="Times New Roman"/>
          <w:sz w:val="24"/>
          <w:szCs w:val="24"/>
        </w:rPr>
        <w:t>Declaración sobre el uso de inteligencia artificial. Los autores declaran que no utilizaron ningún tipo de inteligencia artificial generativa para la redacción de este manuscrito.</w:t>
      </w:r>
      <w:r w:rsidRPr="00FA0E73">
        <w:rPr>
          <w:rFonts w:ascii="Times New Roman" w:hAnsi="Times New Roman" w:cs="Times New Roman"/>
          <w:b/>
          <w:sz w:val="24"/>
          <w:szCs w:val="24"/>
        </w:rPr>
        <w:br w:type="page"/>
      </w:r>
    </w:p>
    <w:p w14:paraId="550649A0" w14:textId="77777777" w:rsidR="00796196" w:rsidRPr="00FA0E73" w:rsidRDefault="00796196" w:rsidP="00796196">
      <w:pPr>
        <w:rPr>
          <w:rFonts w:ascii="Times New Roman" w:hAnsi="Times New Roman" w:cs="Times New Roman"/>
          <w:b/>
          <w:sz w:val="24"/>
          <w:szCs w:val="24"/>
        </w:rPr>
      </w:pPr>
      <w:r w:rsidRPr="00FA0E73">
        <w:rPr>
          <w:rFonts w:ascii="Times New Roman" w:hAnsi="Times New Roman" w:cs="Times New Roman"/>
          <w:b/>
          <w:sz w:val="24"/>
          <w:szCs w:val="24"/>
        </w:rPr>
        <w:lastRenderedPageBreak/>
        <w:t>Figura 1. Flujograma de obtención de los datos (STROBE)</w:t>
      </w:r>
      <w:r w:rsidRPr="00FA0E73">
        <w:rPr>
          <w:rFonts w:ascii="Times New Roman" w:hAnsi="Times New Roman" w:cs="Times New Roman"/>
          <w:b/>
          <w:sz w:val="24"/>
          <w:szCs w:val="24"/>
        </w:rPr>
        <w:tab/>
      </w:r>
    </w:p>
    <w:p w14:paraId="6D436327" w14:textId="77777777" w:rsidR="00796196" w:rsidRPr="00FA0E73" w:rsidRDefault="00796196" w:rsidP="00796196">
      <w:pPr>
        <w:rPr>
          <w:rFonts w:ascii="Times New Roman" w:hAnsi="Times New Roman" w:cs="Times New Roman"/>
          <w:b/>
          <w:sz w:val="24"/>
          <w:szCs w:val="24"/>
        </w:rPr>
      </w:pPr>
      <w:r w:rsidRPr="00FA080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0AF22D1" wp14:editId="79D75DAD">
                <wp:simplePos x="0" y="0"/>
                <wp:positionH relativeFrom="column">
                  <wp:posOffset>1061720</wp:posOffset>
                </wp:positionH>
                <wp:positionV relativeFrom="paragraph">
                  <wp:posOffset>158750</wp:posOffset>
                </wp:positionV>
                <wp:extent cx="3893913" cy="405367"/>
                <wp:effectExtent l="0" t="0" r="11430" b="13970"/>
                <wp:wrapNone/>
                <wp:docPr id="4" name="CuadroTexto 3">
                  <a:extLst xmlns:a="http://schemas.openxmlformats.org/drawingml/2006/main">
                    <a:ext uri="{FF2B5EF4-FFF2-40B4-BE49-F238E27FC236}">
                      <a16:creationId xmlns:a16="http://schemas.microsoft.com/office/drawing/2014/main" id="{8013A35F-06A3-D07C-80DC-E18AB8520189}"/>
                    </a:ext>
                  </a:extLst>
                </wp:docPr>
                <wp:cNvGraphicFramePr/>
                <a:graphic xmlns:a="http://schemas.openxmlformats.org/drawingml/2006/main">
                  <a:graphicData uri="http://schemas.microsoft.com/office/word/2010/wordprocessingShape">
                    <wps:wsp>
                      <wps:cNvSpPr txBox="1"/>
                      <wps:spPr>
                        <a:xfrm>
                          <a:off x="0" y="0"/>
                          <a:ext cx="3893913" cy="405367"/>
                        </a:xfrm>
                        <a:prstGeom prst="rect">
                          <a:avLst/>
                        </a:prstGeom>
                      </wps:spPr>
                      <wps:style>
                        <a:lnRef idx="2">
                          <a:schemeClr val="dk1"/>
                        </a:lnRef>
                        <a:fillRef idx="1">
                          <a:schemeClr val="lt1"/>
                        </a:fillRef>
                        <a:effectRef idx="0">
                          <a:schemeClr val="dk1"/>
                        </a:effectRef>
                        <a:fontRef idx="minor">
                          <a:schemeClr val="dk1"/>
                        </a:fontRef>
                      </wps:style>
                      <wps:txbx>
                        <w:txbxContent>
                          <w:p w14:paraId="060D78C4" w14:textId="77777777" w:rsidR="00796196" w:rsidRPr="00FA080A" w:rsidRDefault="00796196" w:rsidP="00796196">
                            <w:pPr>
                              <w:spacing w:line="480" w:lineRule="auto"/>
                              <w:jc w:val="center"/>
                              <w:rPr>
                                <w:rFonts w:ascii="Times New Roman" w:hAnsi="Times New Roman" w:cs="Times New Roman"/>
                                <w:color w:val="000000" w:themeColor="dark1"/>
                                <w:kern w:val="24"/>
                                <w:sz w:val="24"/>
                                <w:szCs w:val="24"/>
                                <w14:ligatures w14:val="none"/>
                              </w:rPr>
                            </w:pPr>
                            <w:proofErr w:type="gramStart"/>
                            <w:r w:rsidRPr="00FA080A">
                              <w:rPr>
                                <w:rFonts w:ascii="Times New Roman" w:hAnsi="Times New Roman" w:cs="Times New Roman"/>
                                <w:color w:val="000000" w:themeColor="dark1"/>
                                <w:kern w:val="24"/>
                                <w:sz w:val="24"/>
                                <w:szCs w:val="24"/>
                              </w:rPr>
                              <w:t>Total</w:t>
                            </w:r>
                            <w:proofErr w:type="gramEnd"/>
                            <w:r w:rsidRPr="00FA080A">
                              <w:rPr>
                                <w:rFonts w:ascii="Times New Roman" w:hAnsi="Times New Roman" w:cs="Times New Roman"/>
                                <w:color w:val="000000" w:themeColor="dark1"/>
                                <w:kern w:val="24"/>
                                <w:sz w:val="24"/>
                                <w:szCs w:val="24"/>
                              </w:rPr>
                              <w:t xml:space="preserve"> de registros en Koelis Trinity®: 720 registros</w:t>
                            </w:r>
                          </w:p>
                        </w:txbxContent>
                      </wps:txbx>
                      <wps:bodyPr wrap="square" rtlCol="0">
                        <a:spAutoFit/>
                      </wps:bodyPr>
                    </wps:wsp>
                  </a:graphicData>
                </a:graphic>
              </wp:anchor>
            </w:drawing>
          </mc:Choice>
          <mc:Fallback>
            <w:pict>
              <v:shapetype w14:anchorId="20AF22D1" id="_x0000_t202" coordsize="21600,21600" o:spt="202" path="m,l,21600r21600,l21600,xe">
                <v:stroke joinstyle="miter"/>
                <v:path gradientshapeok="t" o:connecttype="rect"/>
              </v:shapetype>
              <v:shape id="CuadroTexto 3" o:spid="_x0000_s1026" type="#_x0000_t202" style="position:absolute;margin-left:83.6pt;margin-top:12.5pt;width:306.6pt;height:3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" fillcolor="white [3201]" strokecolor="black [3200]" strokeweight="1pt">
                <v:textbox style="mso-fit-shape-to-text:t">
                  <w:txbxContent>
                    <w:p w14:paraId="060D78C4" w14:textId="77777777" w:rsidR="00796196" w:rsidRPr="00FA080A" w:rsidRDefault="00796196" w:rsidP="00796196">
                      <w:pPr>
                        <w:spacing w:line="480" w:lineRule="auto"/>
                        <w:jc w:val="center"/>
                        <w:rPr>
                          <w:rFonts w:ascii="Times New Roman" w:hAnsi="Times New Roman" w:cs="Times New Roman"/>
                          <w:color w:val="000000" w:themeColor="dark1"/>
                          <w:kern w:val="24"/>
                          <w:sz w:val="24"/>
                          <w:szCs w:val="24"/>
                          <w14:ligatures w14:val="none"/>
                        </w:rPr>
                      </w:pPr>
                      <w:proofErr w:type="gramStart"/>
                      <w:r w:rsidRPr="00FA080A">
                        <w:rPr>
                          <w:rFonts w:ascii="Times New Roman" w:hAnsi="Times New Roman" w:cs="Times New Roman"/>
                          <w:color w:val="000000" w:themeColor="dark1"/>
                          <w:kern w:val="24"/>
                          <w:sz w:val="24"/>
                          <w:szCs w:val="24"/>
                        </w:rPr>
                        <w:t>Total</w:t>
                      </w:r>
                      <w:proofErr w:type="gramEnd"/>
                      <w:r w:rsidRPr="00FA080A">
                        <w:rPr>
                          <w:rFonts w:ascii="Times New Roman" w:hAnsi="Times New Roman" w:cs="Times New Roman"/>
                          <w:color w:val="000000" w:themeColor="dark1"/>
                          <w:kern w:val="24"/>
                          <w:sz w:val="24"/>
                          <w:szCs w:val="24"/>
                        </w:rPr>
                        <w:t xml:space="preserve"> de registros en Koelis Trinity®: 720 registros</w:t>
                      </w:r>
                    </w:p>
                  </w:txbxContent>
                </v:textbox>
              </v:shape>
            </w:pict>
          </mc:Fallback>
        </mc:AlternateContent>
      </w:r>
    </w:p>
    <w:p w14:paraId="4D3FBBD0" w14:textId="77777777" w:rsidR="00796196" w:rsidRPr="00FA0E73" w:rsidRDefault="00796196" w:rsidP="00796196">
      <w:pPr>
        <w:rPr>
          <w:rFonts w:ascii="Times New Roman" w:hAnsi="Times New Roman" w:cs="Times New Roman"/>
          <w:b/>
          <w:sz w:val="24"/>
          <w:szCs w:val="24"/>
        </w:rPr>
      </w:pPr>
      <w:r w:rsidRPr="00FA080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631A710" wp14:editId="49E2FC56">
                <wp:simplePos x="0" y="0"/>
                <wp:positionH relativeFrom="column">
                  <wp:posOffset>2837815</wp:posOffset>
                </wp:positionH>
                <wp:positionV relativeFrom="paragraph">
                  <wp:posOffset>520065</wp:posOffset>
                </wp:positionV>
                <wp:extent cx="297815" cy="368935"/>
                <wp:effectExtent l="19050" t="0" r="26035" b="31115"/>
                <wp:wrapNone/>
                <wp:docPr id="5" name="Flecha: hacia abajo 4">
                  <a:extLst xmlns:a="http://schemas.openxmlformats.org/drawingml/2006/main">
                    <a:ext uri="{FF2B5EF4-FFF2-40B4-BE49-F238E27FC236}">
                      <a16:creationId xmlns:a16="http://schemas.microsoft.com/office/drawing/2014/main" id="{597FB56D-47B7-02EB-FDF4-4C9DE8D4FAB1}"/>
                    </a:ext>
                  </a:extLst>
                </wp:docPr>
                <wp:cNvGraphicFramePr/>
                <a:graphic xmlns:a="http://schemas.openxmlformats.org/drawingml/2006/main">
                  <a:graphicData uri="http://schemas.microsoft.com/office/word/2010/wordprocessingShape">
                    <wps:wsp>
                      <wps:cNvSpPr/>
                      <wps:spPr>
                        <a:xfrm>
                          <a:off x="0" y="0"/>
                          <a:ext cx="297815" cy="36893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0735B4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4" o:spid="_x0000_s1026" type="#_x0000_t67" style="position:absolute;margin-left:223.45pt;margin-top:40.95pt;width:23.45pt;height:29.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" adj="12882" fillcolor="#156082 [3204]" strokecolor="#030e13 [484]" strokeweight="1pt"/>
            </w:pict>
          </mc:Fallback>
        </mc:AlternateContent>
      </w:r>
      <w:r w:rsidRPr="00FA080A">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3F73BD2" wp14:editId="5EBEB331">
                <wp:simplePos x="0" y="0"/>
                <wp:positionH relativeFrom="column">
                  <wp:posOffset>2877185</wp:posOffset>
                </wp:positionH>
                <wp:positionV relativeFrom="paragraph">
                  <wp:posOffset>3429000</wp:posOffset>
                </wp:positionV>
                <wp:extent cx="297815" cy="368935"/>
                <wp:effectExtent l="19050" t="0" r="26035" b="31115"/>
                <wp:wrapNone/>
                <wp:docPr id="9" name="Flecha: hacia abajo 8">
                  <a:extLst xmlns:a="http://schemas.openxmlformats.org/drawingml/2006/main">
                    <a:ext uri="{FF2B5EF4-FFF2-40B4-BE49-F238E27FC236}">
                      <a16:creationId xmlns:a16="http://schemas.microsoft.com/office/drawing/2014/main" id="{124CCB09-9A91-286B-A78A-C43E7945EE81}"/>
                    </a:ext>
                  </a:extLst>
                </wp:docPr>
                <wp:cNvGraphicFramePr/>
                <a:graphic xmlns:a="http://schemas.openxmlformats.org/drawingml/2006/main">
                  <a:graphicData uri="http://schemas.microsoft.com/office/word/2010/wordprocessingShape">
                    <wps:wsp>
                      <wps:cNvSpPr/>
                      <wps:spPr>
                        <a:xfrm>
                          <a:off x="0" y="0"/>
                          <a:ext cx="297815" cy="36893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772C507" id="Flecha: hacia abajo 8" o:spid="_x0000_s1026" type="#_x0000_t67" style="position:absolute;margin-left:226.55pt;margin-top:270pt;width:23.45pt;height:2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" adj="12882" fillcolor="#156082 [3204]" strokecolor="#030e13 [484]" strokeweight="1pt"/>
            </w:pict>
          </mc:Fallback>
        </mc:AlternateContent>
      </w:r>
      <w:r w:rsidRPr="00FA080A">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54ED38B7" wp14:editId="2BA59D1F">
                <wp:simplePos x="0" y="0"/>
                <wp:positionH relativeFrom="column">
                  <wp:posOffset>1061720</wp:posOffset>
                </wp:positionH>
                <wp:positionV relativeFrom="paragraph">
                  <wp:posOffset>3906520</wp:posOffset>
                </wp:positionV>
                <wp:extent cx="3893913" cy="1144031"/>
                <wp:effectExtent l="0" t="0" r="11430" b="18415"/>
                <wp:wrapNone/>
                <wp:docPr id="8" name="CuadroTexto 7">
                  <a:extLst xmlns:a="http://schemas.openxmlformats.org/drawingml/2006/main">
                    <a:ext uri="{FF2B5EF4-FFF2-40B4-BE49-F238E27FC236}">
                      <a16:creationId xmlns:a16="http://schemas.microsoft.com/office/drawing/2014/main" id="{DA81FBEE-5E66-51CC-23D9-97C3F0609ACF}"/>
                    </a:ext>
                  </a:extLst>
                </wp:docPr>
                <wp:cNvGraphicFramePr/>
                <a:graphic xmlns:a="http://schemas.openxmlformats.org/drawingml/2006/main">
                  <a:graphicData uri="http://schemas.microsoft.com/office/word/2010/wordprocessingShape">
                    <wps:wsp>
                      <wps:cNvSpPr txBox="1"/>
                      <wps:spPr>
                        <a:xfrm>
                          <a:off x="0" y="0"/>
                          <a:ext cx="3893913" cy="1144031"/>
                        </a:xfrm>
                        <a:prstGeom prst="rect">
                          <a:avLst/>
                        </a:prstGeom>
                      </wps:spPr>
                      <wps:style>
                        <a:lnRef idx="2">
                          <a:schemeClr val="dk1"/>
                        </a:lnRef>
                        <a:fillRef idx="1">
                          <a:schemeClr val="lt1"/>
                        </a:fillRef>
                        <a:effectRef idx="0">
                          <a:schemeClr val="dk1"/>
                        </a:effectRef>
                        <a:fontRef idx="minor">
                          <a:schemeClr val="dk1"/>
                        </a:fontRef>
                      </wps:style>
                      <wps:txbx>
                        <w:txbxContent>
                          <w:p w14:paraId="70E236EB" w14:textId="77777777" w:rsidR="00796196" w:rsidRPr="00FA080A" w:rsidRDefault="00796196" w:rsidP="00796196">
                            <w:pPr>
                              <w:spacing w:line="480" w:lineRule="auto"/>
                              <w:rPr>
                                <w:rFonts w:ascii="Times New Roman" w:hAnsi="Times New Roman" w:cs="Times New Roman"/>
                                <w:color w:val="000000" w:themeColor="dark1"/>
                                <w:kern w:val="24"/>
                                <w:sz w:val="28"/>
                                <w:szCs w:val="28"/>
                                <w14:ligatures w14:val="none"/>
                              </w:rPr>
                            </w:pPr>
                            <w:proofErr w:type="gramStart"/>
                            <w:r w:rsidRPr="00FA080A">
                              <w:rPr>
                                <w:rFonts w:ascii="Times New Roman" w:hAnsi="Times New Roman" w:cs="Times New Roman"/>
                                <w:color w:val="000000" w:themeColor="dark1"/>
                                <w:kern w:val="24"/>
                                <w:sz w:val="24"/>
                                <w:szCs w:val="24"/>
                              </w:rPr>
                              <w:t>Total</w:t>
                            </w:r>
                            <w:proofErr w:type="gramEnd"/>
                            <w:r w:rsidRPr="00FA080A">
                              <w:rPr>
                                <w:rFonts w:ascii="Times New Roman" w:hAnsi="Times New Roman" w:cs="Times New Roman"/>
                                <w:color w:val="000000" w:themeColor="dark1"/>
                                <w:kern w:val="24"/>
                                <w:sz w:val="24"/>
                                <w:szCs w:val="24"/>
                              </w:rPr>
                              <w:t xml:space="preserve"> de registros analizados (biopsias combinadas bilaterales con informe de biopsia completo PIRADS, próstata lado izquierdo y próstata lado derecho): n = 651 </w:t>
                            </w:r>
                          </w:p>
                        </w:txbxContent>
                      </wps:txbx>
                      <wps:bodyPr wrap="square" rtlCol="0">
                        <a:spAutoFit/>
                      </wps:bodyPr>
                    </wps:wsp>
                  </a:graphicData>
                </a:graphic>
              </wp:anchor>
            </w:drawing>
          </mc:Choice>
          <mc:Fallback>
            <w:pict>
              <v:shape w14:anchorId="54ED38B7" id="CuadroTexto 7" o:spid="_x0000_s1027" type="#_x0000_t202" style="position:absolute;margin-left:83.6pt;margin-top:307.6pt;width:306.6pt;height:9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" fillcolor="white [3201]" strokecolor="black [3200]" strokeweight="1pt">
                <v:textbox style="mso-fit-shape-to-text:t">
                  <w:txbxContent>
                    <w:p w14:paraId="70E236EB" w14:textId="77777777" w:rsidR="00796196" w:rsidRPr="00FA080A" w:rsidRDefault="00796196" w:rsidP="00796196">
                      <w:pPr>
                        <w:spacing w:line="480" w:lineRule="auto"/>
                        <w:rPr>
                          <w:rFonts w:ascii="Times New Roman" w:hAnsi="Times New Roman" w:cs="Times New Roman"/>
                          <w:color w:val="000000" w:themeColor="dark1"/>
                          <w:kern w:val="24"/>
                          <w:sz w:val="28"/>
                          <w:szCs w:val="28"/>
                          <w14:ligatures w14:val="none"/>
                        </w:rPr>
                      </w:pPr>
                      <w:proofErr w:type="gramStart"/>
                      <w:r w:rsidRPr="00FA080A">
                        <w:rPr>
                          <w:rFonts w:ascii="Times New Roman" w:hAnsi="Times New Roman" w:cs="Times New Roman"/>
                          <w:color w:val="000000" w:themeColor="dark1"/>
                          <w:kern w:val="24"/>
                          <w:sz w:val="24"/>
                          <w:szCs w:val="24"/>
                        </w:rPr>
                        <w:t>Total</w:t>
                      </w:r>
                      <w:proofErr w:type="gramEnd"/>
                      <w:r w:rsidRPr="00FA080A">
                        <w:rPr>
                          <w:rFonts w:ascii="Times New Roman" w:hAnsi="Times New Roman" w:cs="Times New Roman"/>
                          <w:color w:val="000000" w:themeColor="dark1"/>
                          <w:kern w:val="24"/>
                          <w:sz w:val="24"/>
                          <w:szCs w:val="24"/>
                        </w:rPr>
                        <w:t xml:space="preserve"> de registros analizados (biopsias combinadas bilaterales con informe de biopsia completo PIRADS, próstata lado izquierdo y próstata lado derecho): n = 651 </w:t>
                      </w:r>
                    </w:p>
                  </w:txbxContent>
                </v:textbox>
              </v:shape>
            </w:pict>
          </mc:Fallback>
        </mc:AlternateContent>
      </w:r>
      <w:r w:rsidRPr="00FA080A">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B898389" wp14:editId="3587C702">
                <wp:simplePos x="0" y="0"/>
                <wp:positionH relativeFrom="column">
                  <wp:posOffset>1061720</wp:posOffset>
                </wp:positionH>
                <wp:positionV relativeFrom="paragraph">
                  <wp:posOffset>1001395</wp:posOffset>
                </wp:positionV>
                <wp:extent cx="3893820" cy="2251710"/>
                <wp:effectExtent l="0" t="0" r="11430" b="15240"/>
                <wp:wrapNone/>
                <wp:docPr id="6" name="CuadroTexto 5">
                  <a:extLst xmlns:a="http://schemas.openxmlformats.org/drawingml/2006/main">
                    <a:ext uri="{FF2B5EF4-FFF2-40B4-BE49-F238E27FC236}">
                      <a16:creationId xmlns:a16="http://schemas.microsoft.com/office/drawing/2014/main" id="{47ED1BF0-7AF5-DC47-1FEC-F9B477AE6A65}"/>
                    </a:ext>
                  </a:extLst>
                </wp:docPr>
                <wp:cNvGraphicFramePr/>
                <a:graphic xmlns:a="http://schemas.openxmlformats.org/drawingml/2006/main">
                  <a:graphicData uri="http://schemas.microsoft.com/office/word/2010/wordprocessingShape">
                    <wps:wsp>
                      <wps:cNvSpPr txBox="1"/>
                      <wps:spPr>
                        <a:xfrm>
                          <a:off x="0" y="0"/>
                          <a:ext cx="3893820" cy="2251710"/>
                        </a:xfrm>
                        <a:prstGeom prst="rect">
                          <a:avLst/>
                        </a:prstGeom>
                      </wps:spPr>
                      <wps:style>
                        <a:lnRef idx="2">
                          <a:schemeClr val="dk1"/>
                        </a:lnRef>
                        <a:fillRef idx="1">
                          <a:schemeClr val="lt1"/>
                        </a:fillRef>
                        <a:effectRef idx="0">
                          <a:schemeClr val="dk1"/>
                        </a:effectRef>
                        <a:fontRef idx="minor">
                          <a:schemeClr val="dk1"/>
                        </a:fontRef>
                      </wps:style>
                      <wps:txbx>
                        <w:txbxContent>
                          <w:p w14:paraId="0D51A7EF" w14:textId="77777777" w:rsidR="00796196" w:rsidRPr="00FA080A" w:rsidRDefault="00796196" w:rsidP="00796196">
                            <w:pPr>
                              <w:spacing w:line="480" w:lineRule="auto"/>
                              <w:rPr>
                                <w:rFonts w:ascii="Times New Roman" w:hAnsi="Times New Roman" w:cs="Times New Roman"/>
                                <w:color w:val="000000" w:themeColor="dark1"/>
                                <w:kern w:val="24"/>
                                <w:sz w:val="24"/>
                                <w:szCs w:val="24"/>
                                <w:lang w:val="es-MX"/>
                                <w14:ligatures w14:val="none"/>
                              </w:rPr>
                            </w:pPr>
                            <w:r w:rsidRPr="00FA080A">
                              <w:rPr>
                                <w:rFonts w:ascii="Times New Roman" w:hAnsi="Times New Roman" w:cs="Times New Roman"/>
                                <w:color w:val="000000" w:themeColor="dark1"/>
                                <w:kern w:val="24"/>
                                <w:sz w:val="24"/>
                                <w:szCs w:val="24"/>
                                <w:lang w:val="es-MX"/>
                              </w:rPr>
                              <w:t>Registros excluidos:</w:t>
                            </w:r>
                          </w:p>
                          <w:p w14:paraId="10A436DF"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Datos incompletos/error de identificación (n = 37)</w:t>
                            </w:r>
                          </w:p>
                          <w:p w14:paraId="06D9C196"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Sin ficha clínica (n = 11)</w:t>
                            </w:r>
                          </w:p>
                          <w:p w14:paraId="6AE45049"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Biopsia sólo a objetivo, sin sistemática (n = 8)</w:t>
                            </w:r>
                          </w:p>
                          <w:p w14:paraId="53E8F495"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Biopsia sistemática exclusiva (n = 10)</w:t>
                            </w:r>
                          </w:p>
                          <w:p w14:paraId="2AFBDFE8"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 xml:space="preserve">Biopsia </w:t>
                            </w:r>
                            <w:proofErr w:type="gramStart"/>
                            <w:r w:rsidRPr="00FA080A">
                              <w:rPr>
                                <w:rFonts w:ascii="Times New Roman" w:hAnsi="Times New Roman" w:cs="Times New Roman"/>
                                <w:color w:val="000000" w:themeColor="dark1"/>
                                <w:kern w:val="24"/>
                                <w:sz w:val="24"/>
                                <w:szCs w:val="24"/>
                                <w:lang w:val="es-MX"/>
                              </w:rPr>
                              <w:t>target</w:t>
                            </w:r>
                            <w:proofErr w:type="gramEnd"/>
                            <w:r w:rsidRPr="00FA080A">
                              <w:rPr>
                                <w:rFonts w:ascii="Times New Roman" w:hAnsi="Times New Roman" w:cs="Times New Roman"/>
                                <w:color w:val="000000" w:themeColor="dark1"/>
                                <w:kern w:val="24"/>
                                <w:sz w:val="24"/>
                                <w:szCs w:val="24"/>
                                <w:lang w:val="es-MX"/>
                              </w:rPr>
                              <w:t xml:space="preserve"> + sistemática sólo unilateral (n = 3)</w:t>
                            </w:r>
                          </w:p>
                        </w:txbxContent>
                      </wps:txbx>
                      <wps:bodyPr wrap="square" rtlCol="0">
                        <a:spAutoFit/>
                      </wps:bodyPr>
                    </wps:wsp>
                  </a:graphicData>
                </a:graphic>
              </wp:anchor>
            </w:drawing>
          </mc:Choice>
          <mc:Fallback>
            <w:pict>
              <v:shape w14:anchorId="0B898389" id="CuadroTexto 5" o:spid="_x0000_s1028" type="#_x0000_t202" style="position:absolute;margin-left:83.6pt;margin-top:78.85pt;width:306.6pt;height:177.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" fillcolor="white [3201]" strokecolor="black [3200]" strokeweight="1pt">
                <v:textbox style="mso-fit-shape-to-text:t">
                  <w:txbxContent>
                    <w:p w14:paraId="0D51A7EF" w14:textId="77777777" w:rsidR="00796196" w:rsidRPr="00FA080A" w:rsidRDefault="00796196" w:rsidP="00796196">
                      <w:pPr>
                        <w:spacing w:line="480" w:lineRule="auto"/>
                        <w:rPr>
                          <w:rFonts w:ascii="Times New Roman" w:hAnsi="Times New Roman" w:cs="Times New Roman"/>
                          <w:color w:val="000000" w:themeColor="dark1"/>
                          <w:kern w:val="24"/>
                          <w:sz w:val="24"/>
                          <w:szCs w:val="24"/>
                          <w:lang w:val="es-MX"/>
                          <w14:ligatures w14:val="none"/>
                        </w:rPr>
                      </w:pPr>
                      <w:r w:rsidRPr="00FA080A">
                        <w:rPr>
                          <w:rFonts w:ascii="Times New Roman" w:hAnsi="Times New Roman" w:cs="Times New Roman"/>
                          <w:color w:val="000000" w:themeColor="dark1"/>
                          <w:kern w:val="24"/>
                          <w:sz w:val="24"/>
                          <w:szCs w:val="24"/>
                          <w:lang w:val="es-MX"/>
                        </w:rPr>
                        <w:t>Registros excluidos:</w:t>
                      </w:r>
                    </w:p>
                    <w:p w14:paraId="10A436DF"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Datos incompletos/error de identificación (n = 37)</w:t>
                      </w:r>
                    </w:p>
                    <w:p w14:paraId="06D9C196"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Sin ficha clínica (n = 11)</w:t>
                      </w:r>
                    </w:p>
                    <w:p w14:paraId="6AE45049"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Biopsia sólo a objetivo, sin sistemática (n = 8)</w:t>
                      </w:r>
                    </w:p>
                    <w:p w14:paraId="53E8F495"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Biopsia sistemática exclusiva (n = 10)</w:t>
                      </w:r>
                    </w:p>
                    <w:p w14:paraId="2AFBDFE8" w14:textId="77777777" w:rsidR="00796196" w:rsidRPr="00FA080A" w:rsidRDefault="00796196" w:rsidP="00796196">
                      <w:pPr>
                        <w:pStyle w:val="Prrafodelista"/>
                        <w:numPr>
                          <w:ilvl w:val="0"/>
                          <w:numId w:val="3"/>
                        </w:numPr>
                        <w:spacing w:after="0" w:line="480" w:lineRule="auto"/>
                        <w:rPr>
                          <w:rFonts w:ascii="Times New Roman" w:hAnsi="Times New Roman" w:cs="Times New Roman"/>
                          <w:color w:val="000000" w:themeColor="dark1"/>
                          <w:kern w:val="24"/>
                          <w:sz w:val="24"/>
                          <w:szCs w:val="24"/>
                          <w:lang w:val="es-MX"/>
                        </w:rPr>
                      </w:pPr>
                      <w:r w:rsidRPr="00FA080A">
                        <w:rPr>
                          <w:rFonts w:ascii="Times New Roman" w:hAnsi="Times New Roman" w:cs="Times New Roman"/>
                          <w:color w:val="000000" w:themeColor="dark1"/>
                          <w:kern w:val="24"/>
                          <w:sz w:val="24"/>
                          <w:szCs w:val="24"/>
                          <w:lang w:val="es-MX"/>
                        </w:rPr>
                        <w:t xml:space="preserve">Biopsia </w:t>
                      </w:r>
                      <w:proofErr w:type="gramStart"/>
                      <w:r w:rsidRPr="00FA080A">
                        <w:rPr>
                          <w:rFonts w:ascii="Times New Roman" w:hAnsi="Times New Roman" w:cs="Times New Roman"/>
                          <w:color w:val="000000" w:themeColor="dark1"/>
                          <w:kern w:val="24"/>
                          <w:sz w:val="24"/>
                          <w:szCs w:val="24"/>
                          <w:lang w:val="es-MX"/>
                        </w:rPr>
                        <w:t>target</w:t>
                      </w:r>
                      <w:proofErr w:type="gramEnd"/>
                      <w:r w:rsidRPr="00FA080A">
                        <w:rPr>
                          <w:rFonts w:ascii="Times New Roman" w:hAnsi="Times New Roman" w:cs="Times New Roman"/>
                          <w:color w:val="000000" w:themeColor="dark1"/>
                          <w:kern w:val="24"/>
                          <w:sz w:val="24"/>
                          <w:szCs w:val="24"/>
                          <w:lang w:val="es-MX"/>
                        </w:rPr>
                        <w:t xml:space="preserve"> + sistemática sólo unilateral (n = 3)</w:t>
                      </w:r>
                    </w:p>
                  </w:txbxContent>
                </v:textbox>
              </v:shape>
            </w:pict>
          </mc:Fallback>
        </mc:AlternateContent>
      </w:r>
      <w:r w:rsidRPr="00FA0E73">
        <w:rPr>
          <w:rFonts w:ascii="Times New Roman" w:hAnsi="Times New Roman" w:cs="Times New Roman"/>
          <w:b/>
          <w:sz w:val="24"/>
          <w:szCs w:val="24"/>
        </w:rPr>
        <w:br w:type="page"/>
      </w:r>
    </w:p>
    <w:p w14:paraId="21150317" w14:textId="77777777" w:rsidR="00796196" w:rsidRPr="00FA0E73" w:rsidRDefault="00796196" w:rsidP="00796196">
      <w:pPr>
        <w:rPr>
          <w:rFonts w:ascii="Times New Roman" w:hAnsi="Times New Roman" w:cs="Times New Roman"/>
          <w:sz w:val="24"/>
          <w:szCs w:val="24"/>
        </w:rPr>
      </w:pPr>
      <w:r w:rsidRPr="00FA0E73">
        <w:rPr>
          <w:rFonts w:ascii="Times New Roman" w:hAnsi="Times New Roman" w:cs="Times New Roman"/>
          <w:b/>
          <w:sz w:val="24"/>
          <w:szCs w:val="24"/>
        </w:rPr>
        <w:lastRenderedPageBreak/>
        <w:t>Tabla 1. Características basales de la cohorte</w:t>
      </w:r>
    </w:p>
    <w:p w14:paraId="3E244BBE" w14:textId="77777777" w:rsidR="00796196" w:rsidRPr="00FA0E73" w:rsidRDefault="00796196" w:rsidP="00796196">
      <w:pPr>
        <w:rPr>
          <w:rFonts w:ascii="Times New Roman" w:hAnsi="Times New Roman" w:cs="Times New Roman"/>
          <w:sz w:val="24"/>
          <w:szCs w:val="24"/>
        </w:rPr>
      </w:pPr>
    </w:p>
    <w:tbl>
      <w:tblPr>
        <w:tblStyle w:val="Tablaconcuadrcula6concolores-nfasis1"/>
        <w:tblW w:w="8935" w:type="dxa"/>
        <w:tblLook w:val="04A0" w:firstRow="1" w:lastRow="0" w:firstColumn="1" w:lastColumn="0" w:noHBand="0" w:noVBand="1"/>
      </w:tblPr>
      <w:tblGrid>
        <w:gridCol w:w="6135"/>
        <w:gridCol w:w="2800"/>
      </w:tblGrid>
      <w:tr w:rsidR="00796196" w:rsidRPr="00FA0E73" w14:paraId="0C4A2C1D" w14:textId="77777777" w:rsidTr="004B5555">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tcPr>
          <w:p w14:paraId="117A8F51"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Edad (años), mediana (RIC)</w:t>
            </w:r>
          </w:p>
        </w:tc>
        <w:tc>
          <w:tcPr>
            <w:tcW w:w="0" w:type="auto"/>
          </w:tcPr>
          <w:p w14:paraId="25D8E15B" w14:textId="77777777" w:rsidR="00796196" w:rsidRPr="00014977" w:rsidRDefault="00796196" w:rsidP="004B555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65,00 (59,00–70,75)</w:t>
            </w:r>
          </w:p>
        </w:tc>
      </w:tr>
      <w:tr w:rsidR="00796196" w:rsidRPr="00FA0E73" w14:paraId="329467C9" w14:textId="77777777" w:rsidTr="004B555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tcPr>
          <w:p w14:paraId="148B1607"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APE total (ng/mL), mediana (RIC)</w:t>
            </w:r>
          </w:p>
        </w:tc>
        <w:tc>
          <w:tcPr>
            <w:tcW w:w="0" w:type="auto"/>
            <w:shd w:val="clear" w:color="auto" w:fill="DAE9F7" w:themeFill="text2" w:themeFillTint="1A"/>
          </w:tcPr>
          <w:p w14:paraId="36D8B494" w14:textId="77777777" w:rsidR="00796196" w:rsidRPr="00014977"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14977">
              <w:rPr>
                <w:rFonts w:ascii="Times New Roman" w:hAnsi="Times New Roman" w:cs="Times New Roman"/>
                <w:color w:val="auto"/>
                <w:sz w:val="24"/>
                <w:szCs w:val="24"/>
              </w:rPr>
              <w:t>6,14 (4,60–9,00)</w:t>
            </w:r>
          </w:p>
        </w:tc>
      </w:tr>
      <w:tr w:rsidR="00796196" w:rsidRPr="00FA0E73" w14:paraId="13B1734B" w14:textId="77777777" w:rsidTr="004B5555">
        <w:trPr>
          <w:trHeight w:val="244"/>
        </w:trPr>
        <w:tc>
          <w:tcPr>
            <w:cnfStyle w:val="001000000000" w:firstRow="0" w:lastRow="0" w:firstColumn="1" w:lastColumn="0" w:oddVBand="0" w:evenVBand="0" w:oddHBand="0" w:evenHBand="0" w:firstRowFirstColumn="0" w:firstRowLastColumn="0" w:lastRowFirstColumn="0" w:lastRowLastColumn="0"/>
            <w:tcW w:w="0" w:type="auto"/>
          </w:tcPr>
          <w:p w14:paraId="025E5195"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Densidad de APE (ng/mL/cm³), mediana (RIC)</w:t>
            </w:r>
          </w:p>
        </w:tc>
        <w:tc>
          <w:tcPr>
            <w:tcW w:w="0" w:type="auto"/>
          </w:tcPr>
          <w:p w14:paraId="776C6025" w14:textId="77777777" w:rsidR="00796196" w:rsidRPr="00014977"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4977">
              <w:rPr>
                <w:rFonts w:ascii="Times New Roman" w:hAnsi="Times New Roman" w:cs="Times New Roman"/>
                <w:color w:val="auto"/>
                <w:sz w:val="24"/>
                <w:szCs w:val="24"/>
              </w:rPr>
              <w:t>0,13 (0,09–0,20)</w:t>
            </w:r>
          </w:p>
        </w:tc>
      </w:tr>
      <w:tr w:rsidR="00796196" w:rsidRPr="00FA0E73" w14:paraId="58952EF0" w14:textId="77777777" w:rsidTr="004B555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tcPr>
          <w:p w14:paraId="19A0B46D"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Biopsia previa, n (%)</w:t>
            </w:r>
          </w:p>
        </w:tc>
        <w:tc>
          <w:tcPr>
            <w:tcW w:w="0" w:type="auto"/>
            <w:shd w:val="clear" w:color="auto" w:fill="DAE9F7" w:themeFill="text2" w:themeFillTint="1A"/>
          </w:tcPr>
          <w:p w14:paraId="45368B92" w14:textId="77777777" w:rsidR="00796196" w:rsidRPr="00014977"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14977">
              <w:rPr>
                <w:rFonts w:ascii="Times New Roman" w:hAnsi="Times New Roman" w:cs="Times New Roman"/>
                <w:color w:val="auto"/>
                <w:sz w:val="24"/>
                <w:szCs w:val="24"/>
              </w:rPr>
              <w:t>131/651 (20,1%)</w:t>
            </w:r>
          </w:p>
        </w:tc>
      </w:tr>
      <w:tr w:rsidR="00796196" w:rsidRPr="00FA0E73" w14:paraId="053C6778" w14:textId="77777777" w:rsidTr="004B5555">
        <w:trPr>
          <w:trHeight w:val="256"/>
        </w:trPr>
        <w:tc>
          <w:tcPr>
            <w:cnfStyle w:val="001000000000" w:firstRow="0" w:lastRow="0" w:firstColumn="1" w:lastColumn="0" w:oddVBand="0" w:evenVBand="0" w:oddHBand="0" w:evenHBand="0" w:firstRowFirstColumn="0" w:firstRowLastColumn="0" w:lastRowFirstColumn="0" w:lastRowLastColumn="0"/>
            <w:tcW w:w="0" w:type="auto"/>
          </w:tcPr>
          <w:p w14:paraId="6E36914A"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Tacto rectal sospechoso, n (%)</w:t>
            </w:r>
          </w:p>
        </w:tc>
        <w:tc>
          <w:tcPr>
            <w:tcW w:w="0" w:type="auto"/>
          </w:tcPr>
          <w:p w14:paraId="3E70B77F" w14:textId="77777777" w:rsidR="00796196" w:rsidRPr="00014977"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4977">
              <w:rPr>
                <w:rFonts w:ascii="Times New Roman" w:hAnsi="Times New Roman" w:cs="Times New Roman"/>
                <w:color w:val="auto"/>
                <w:sz w:val="24"/>
                <w:szCs w:val="24"/>
              </w:rPr>
              <w:t>106/651 (16,3%)</w:t>
            </w:r>
          </w:p>
        </w:tc>
      </w:tr>
      <w:tr w:rsidR="00796196" w:rsidRPr="00FA0E73" w14:paraId="40C838F2" w14:textId="77777777" w:rsidTr="004B555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tcPr>
          <w:p w14:paraId="795A2262"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PI-RADS 3, n (%)</w:t>
            </w:r>
          </w:p>
        </w:tc>
        <w:tc>
          <w:tcPr>
            <w:tcW w:w="0" w:type="auto"/>
            <w:shd w:val="clear" w:color="auto" w:fill="DAE9F7" w:themeFill="text2" w:themeFillTint="1A"/>
          </w:tcPr>
          <w:p w14:paraId="11E607DC" w14:textId="77777777" w:rsidR="00796196" w:rsidRPr="00014977"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14977">
              <w:rPr>
                <w:rFonts w:ascii="Times New Roman" w:hAnsi="Times New Roman" w:cs="Times New Roman"/>
                <w:color w:val="auto"/>
                <w:sz w:val="24"/>
                <w:szCs w:val="24"/>
              </w:rPr>
              <w:t>87 (14,2%)</w:t>
            </w:r>
          </w:p>
        </w:tc>
      </w:tr>
      <w:tr w:rsidR="00796196" w:rsidRPr="00FA0E73" w14:paraId="12CAA27D" w14:textId="77777777" w:rsidTr="004B5555">
        <w:trPr>
          <w:trHeight w:val="256"/>
        </w:trPr>
        <w:tc>
          <w:tcPr>
            <w:cnfStyle w:val="001000000000" w:firstRow="0" w:lastRow="0" w:firstColumn="1" w:lastColumn="0" w:oddVBand="0" w:evenVBand="0" w:oddHBand="0" w:evenHBand="0" w:firstRowFirstColumn="0" w:firstRowLastColumn="0" w:lastRowFirstColumn="0" w:lastRowLastColumn="0"/>
            <w:tcW w:w="0" w:type="auto"/>
          </w:tcPr>
          <w:p w14:paraId="5C3D7454"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PI-RADS 4, n (%)</w:t>
            </w:r>
          </w:p>
        </w:tc>
        <w:tc>
          <w:tcPr>
            <w:tcW w:w="0" w:type="auto"/>
          </w:tcPr>
          <w:p w14:paraId="3CA4A13E" w14:textId="77777777" w:rsidR="00796196" w:rsidRPr="00014977"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14977">
              <w:rPr>
                <w:rFonts w:ascii="Times New Roman" w:hAnsi="Times New Roman" w:cs="Times New Roman"/>
                <w:color w:val="auto"/>
                <w:sz w:val="24"/>
                <w:szCs w:val="24"/>
              </w:rPr>
              <w:t>393 (64,1%)</w:t>
            </w:r>
          </w:p>
        </w:tc>
      </w:tr>
      <w:tr w:rsidR="00796196" w:rsidRPr="00FA0E73" w14:paraId="0F52BD77" w14:textId="77777777" w:rsidTr="004B555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shd w:val="clear" w:color="auto" w:fill="DAE9F7" w:themeFill="text2" w:themeFillTint="1A"/>
          </w:tcPr>
          <w:p w14:paraId="02C85C85" w14:textId="77777777" w:rsidR="00796196" w:rsidRPr="00014977" w:rsidRDefault="00796196" w:rsidP="004B5555">
            <w:pPr>
              <w:spacing w:line="480" w:lineRule="auto"/>
              <w:rPr>
                <w:rFonts w:ascii="Times New Roman" w:hAnsi="Times New Roman" w:cs="Times New Roman"/>
                <w:b w:val="0"/>
                <w:bCs w:val="0"/>
                <w:color w:val="auto"/>
                <w:sz w:val="24"/>
                <w:szCs w:val="24"/>
              </w:rPr>
            </w:pPr>
            <w:r w:rsidRPr="00014977">
              <w:rPr>
                <w:rFonts w:ascii="Times New Roman" w:hAnsi="Times New Roman" w:cs="Times New Roman"/>
                <w:b w:val="0"/>
                <w:bCs w:val="0"/>
                <w:color w:val="auto"/>
                <w:sz w:val="24"/>
                <w:szCs w:val="24"/>
              </w:rPr>
              <w:t>PI-RADS 5, n (%)</w:t>
            </w:r>
          </w:p>
        </w:tc>
        <w:tc>
          <w:tcPr>
            <w:tcW w:w="0" w:type="auto"/>
            <w:shd w:val="clear" w:color="auto" w:fill="DAE9F7" w:themeFill="text2" w:themeFillTint="1A"/>
          </w:tcPr>
          <w:p w14:paraId="5B921C40" w14:textId="77777777" w:rsidR="00796196" w:rsidRPr="00014977"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014977">
              <w:rPr>
                <w:rFonts w:ascii="Times New Roman" w:hAnsi="Times New Roman" w:cs="Times New Roman"/>
                <w:color w:val="auto"/>
                <w:sz w:val="24"/>
                <w:szCs w:val="24"/>
              </w:rPr>
              <w:t>133 (21,7%)</w:t>
            </w:r>
          </w:p>
        </w:tc>
      </w:tr>
      <w:tr w:rsidR="00796196" w:rsidRPr="005C3761" w14:paraId="0AB19915" w14:textId="77777777" w:rsidTr="004B5555">
        <w:trPr>
          <w:trHeight w:val="567"/>
        </w:trPr>
        <w:tc>
          <w:tcPr>
            <w:cnfStyle w:val="001000000000" w:firstRow="0" w:lastRow="0" w:firstColumn="1" w:lastColumn="0" w:oddVBand="0" w:evenVBand="0" w:oddHBand="0" w:evenHBand="0" w:firstRowFirstColumn="0" w:firstRowLastColumn="0" w:lastRowFirstColumn="0" w:lastRowLastColumn="0"/>
            <w:tcW w:w="6135" w:type="dxa"/>
            <w:hideMark/>
          </w:tcPr>
          <w:p w14:paraId="743B2C29" w14:textId="77777777" w:rsidR="00796196" w:rsidRPr="005C3761" w:rsidRDefault="00796196" w:rsidP="004B5555">
            <w:pPr>
              <w:spacing w:line="480" w:lineRule="auto"/>
              <w:rPr>
                <w:rFonts w:ascii="Times New Roman" w:eastAsia="Times New Roman" w:hAnsi="Times New Roman" w:cs="Times New Roman"/>
                <w:b w:val="0"/>
                <w:bCs w:val="0"/>
                <w:color w:val="auto"/>
                <w:kern w:val="0"/>
                <w:sz w:val="24"/>
                <w:szCs w:val="24"/>
                <w:lang w:eastAsia="es-CL"/>
                <w14:ligatures w14:val="none"/>
              </w:rPr>
            </w:pPr>
            <w:r w:rsidRPr="00014977">
              <w:rPr>
                <w:rFonts w:ascii="Times New Roman" w:eastAsia="Times New Roman" w:hAnsi="Times New Roman" w:cs="Times New Roman"/>
                <w:b w:val="0"/>
                <w:bCs w:val="0"/>
                <w:color w:val="auto"/>
                <w:sz w:val="24"/>
                <w:szCs w:val="24"/>
                <w:lang w:eastAsia="es-CL"/>
              </w:rPr>
              <w:t>C</w:t>
            </w:r>
            <w:r w:rsidRPr="005C3761">
              <w:rPr>
                <w:rFonts w:ascii="Times New Roman" w:eastAsia="Times New Roman" w:hAnsi="Times New Roman" w:cs="Times New Roman"/>
                <w:b w:val="0"/>
                <w:bCs w:val="0"/>
                <w:color w:val="auto"/>
                <w:kern w:val="0"/>
                <w:sz w:val="24"/>
                <w:szCs w:val="24"/>
                <w:lang w:eastAsia="es-CL"/>
                <w14:ligatures w14:val="none"/>
              </w:rPr>
              <w:t>ilindros totales obtenidos</w:t>
            </w:r>
            <w:r w:rsidRPr="00014977">
              <w:rPr>
                <w:rFonts w:ascii="Times New Roman" w:eastAsia="Times New Roman" w:hAnsi="Times New Roman" w:cs="Times New Roman"/>
                <w:b w:val="0"/>
                <w:bCs w:val="0"/>
                <w:color w:val="auto"/>
                <w:sz w:val="24"/>
                <w:szCs w:val="24"/>
                <w:lang w:eastAsia="es-CL"/>
              </w:rPr>
              <w:t>, mediana (RIC)</w:t>
            </w:r>
          </w:p>
        </w:tc>
        <w:tc>
          <w:tcPr>
            <w:tcW w:w="2800" w:type="dxa"/>
            <w:hideMark/>
          </w:tcPr>
          <w:p w14:paraId="1D1A0800" w14:textId="77777777" w:rsidR="00796196" w:rsidRPr="005C3761"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eastAsia="es-CL"/>
                <w14:ligatures w14:val="none"/>
              </w:rPr>
            </w:pPr>
            <w:r w:rsidRPr="005C3761">
              <w:rPr>
                <w:rFonts w:ascii="Times New Roman" w:eastAsia="Times New Roman" w:hAnsi="Times New Roman" w:cs="Times New Roman"/>
                <w:color w:val="auto"/>
                <w:kern w:val="0"/>
                <w:sz w:val="24"/>
                <w:szCs w:val="24"/>
                <w:lang w:eastAsia="es-CL"/>
                <w14:ligatures w14:val="none"/>
              </w:rPr>
              <w:t>16 (15-18)</w:t>
            </w:r>
          </w:p>
        </w:tc>
      </w:tr>
      <w:tr w:rsidR="00796196" w:rsidRPr="005C3761" w14:paraId="41208E7F" w14:textId="77777777" w:rsidTr="004B55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35" w:type="dxa"/>
            <w:shd w:val="clear" w:color="auto" w:fill="DAE9F7" w:themeFill="text2" w:themeFillTint="1A"/>
            <w:hideMark/>
          </w:tcPr>
          <w:p w14:paraId="5A4A6D21" w14:textId="77777777" w:rsidR="00796196" w:rsidRPr="005C3761" w:rsidRDefault="00796196" w:rsidP="004B5555">
            <w:pPr>
              <w:spacing w:line="480" w:lineRule="auto"/>
              <w:rPr>
                <w:rFonts w:ascii="Times New Roman" w:eastAsia="Times New Roman" w:hAnsi="Times New Roman" w:cs="Times New Roman"/>
                <w:b w:val="0"/>
                <w:bCs w:val="0"/>
                <w:color w:val="auto"/>
                <w:kern w:val="0"/>
                <w:sz w:val="24"/>
                <w:szCs w:val="24"/>
                <w:lang w:eastAsia="es-CL"/>
                <w14:ligatures w14:val="none"/>
              </w:rPr>
            </w:pPr>
            <w:r w:rsidRPr="00014977">
              <w:rPr>
                <w:rFonts w:ascii="Times New Roman" w:eastAsia="Times New Roman" w:hAnsi="Times New Roman" w:cs="Times New Roman"/>
                <w:b w:val="0"/>
                <w:bCs w:val="0"/>
                <w:color w:val="auto"/>
                <w:sz w:val="24"/>
                <w:szCs w:val="24"/>
                <w:lang w:eastAsia="es-CL"/>
              </w:rPr>
              <w:t>C</w:t>
            </w:r>
            <w:r w:rsidRPr="005C3761">
              <w:rPr>
                <w:rFonts w:ascii="Times New Roman" w:eastAsia="Times New Roman" w:hAnsi="Times New Roman" w:cs="Times New Roman"/>
                <w:b w:val="0"/>
                <w:bCs w:val="0"/>
                <w:color w:val="auto"/>
                <w:kern w:val="0"/>
                <w:sz w:val="24"/>
                <w:szCs w:val="24"/>
                <w:lang w:eastAsia="es-CL"/>
                <w14:ligatures w14:val="none"/>
              </w:rPr>
              <w:t>ilindros lesión PIRADS índice</w:t>
            </w:r>
            <w:r w:rsidRPr="00014977">
              <w:rPr>
                <w:rFonts w:ascii="Times New Roman" w:eastAsia="Times New Roman" w:hAnsi="Times New Roman" w:cs="Times New Roman"/>
                <w:b w:val="0"/>
                <w:bCs w:val="0"/>
                <w:color w:val="auto"/>
                <w:sz w:val="24"/>
                <w:szCs w:val="24"/>
                <w:lang w:eastAsia="es-CL"/>
              </w:rPr>
              <w:t>, mediana (RIC)</w:t>
            </w:r>
          </w:p>
        </w:tc>
        <w:tc>
          <w:tcPr>
            <w:tcW w:w="2800" w:type="dxa"/>
            <w:shd w:val="clear" w:color="auto" w:fill="DAE9F7" w:themeFill="text2" w:themeFillTint="1A"/>
            <w:hideMark/>
          </w:tcPr>
          <w:p w14:paraId="74497529" w14:textId="77777777" w:rsidR="00796196" w:rsidRPr="005C3761"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eastAsia="es-CL"/>
                <w14:ligatures w14:val="none"/>
              </w:rPr>
            </w:pPr>
            <w:r w:rsidRPr="005C3761">
              <w:rPr>
                <w:rFonts w:ascii="Times New Roman" w:eastAsia="Times New Roman" w:hAnsi="Times New Roman" w:cs="Times New Roman"/>
                <w:color w:val="auto"/>
                <w:kern w:val="0"/>
                <w:sz w:val="24"/>
                <w:szCs w:val="24"/>
                <w:lang w:eastAsia="es-CL"/>
                <w14:ligatures w14:val="none"/>
              </w:rPr>
              <w:t>4 (4-5)</w:t>
            </w:r>
          </w:p>
        </w:tc>
      </w:tr>
      <w:tr w:rsidR="00796196" w:rsidRPr="005C3761" w14:paraId="21485238" w14:textId="77777777" w:rsidTr="004B5555">
        <w:trPr>
          <w:trHeight w:val="567"/>
        </w:trPr>
        <w:tc>
          <w:tcPr>
            <w:cnfStyle w:val="001000000000" w:firstRow="0" w:lastRow="0" w:firstColumn="1" w:lastColumn="0" w:oddVBand="0" w:evenVBand="0" w:oddHBand="0" w:evenHBand="0" w:firstRowFirstColumn="0" w:firstRowLastColumn="0" w:lastRowFirstColumn="0" w:lastRowLastColumn="0"/>
            <w:tcW w:w="6135" w:type="dxa"/>
            <w:hideMark/>
          </w:tcPr>
          <w:p w14:paraId="1907677F" w14:textId="77777777" w:rsidR="00796196" w:rsidRPr="005C3761" w:rsidRDefault="00796196" w:rsidP="004B5555">
            <w:pPr>
              <w:spacing w:line="480" w:lineRule="auto"/>
              <w:rPr>
                <w:rFonts w:ascii="Times New Roman" w:eastAsia="Times New Roman" w:hAnsi="Times New Roman" w:cs="Times New Roman"/>
                <w:b w:val="0"/>
                <w:bCs w:val="0"/>
                <w:color w:val="auto"/>
                <w:kern w:val="0"/>
                <w:sz w:val="24"/>
                <w:szCs w:val="24"/>
                <w:lang w:eastAsia="es-CL"/>
                <w14:ligatures w14:val="none"/>
              </w:rPr>
            </w:pPr>
            <w:r w:rsidRPr="00014977">
              <w:rPr>
                <w:rFonts w:ascii="Times New Roman" w:eastAsia="Times New Roman" w:hAnsi="Times New Roman" w:cs="Times New Roman"/>
                <w:b w:val="0"/>
                <w:bCs w:val="0"/>
                <w:color w:val="auto"/>
                <w:sz w:val="24"/>
                <w:szCs w:val="24"/>
                <w:lang w:eastAsia="es-CL"/>
              </w:rPr>
              <w:t>C</w:t>
            </w:r>
            <w:r w:rsidRPr="005C3761">
              <w:rPr>
                <w:rFonts w:ascii="Times New Roman" w:eastAsia="Times New Roman" w:hAnsi="Times New Roman" w:cs="Times New Roman"/>
                <w:b w:val="0"/>
                <w:bCs w:val="0"/>
                <w:color w:val="auto"/>
                <w:kern w:val="0"/>
                <w:sz w:val="24"/>
                <w:szCs w:val="24"/>
                <w:lang w:eastAsia="es-CL"/>
                <w14:ligatures w14:val="none"/>
              </w:rPr>
              <w:t>ilindros segunda lesión PIRADS</w:t>
            </w:r>
            <w:r w:rsidRPr="00014977">
              <w:rPr>
                <w:rFonts w:ascii="Times New Roman" w:eastAsia="Times New Roman" w:hAnsi="Times New Roman" w:cs="Times New Roman"/>
                <w:b w:val="0"/>
                <w:bCs w:val="0"/>
                <w:color w:val="auto"/>
                <w:sz w:val="24"/>
                <w:szCs w:val="24"/>
                <w:lang w:eastAsia="es-CL"/>
              </w:rPr>
              <w:t>, mediana (RIC)</w:t>
            </w:r>
          </w:p>
        </w:tc>
        <w:tc>
          <w:tcPr>
            <w:tcW w:w="2800" w:type="dxa"/>
            <w:hideMark/>
          </w:tcPr>
          <w:p w14:paraId="4C1A1FF2" w14:textId="77777777" w:rsidR="00796196" w:rsidRPr="005C3761"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eastAsia="es-CL"/>
                <w14:ligatures w14:val="none"/>
              </w:rPr>
            </w:pPr>
            <w:r w:rsidRPr="005C3761">
              <w:rPr>
                <w:rFonts w:ascii="Times New Roman" w:eastAsia="Times New Roman" w:hAnsi="Times New Roman" w:cs="Times New Roman"/>
                <w:color w:val="auto"/>
                <w:kern w:val="0"/>
                <w:sz w:val="24"/>
                <w:szCs w:val="24"/>
                <w:lang w:eastAsia="es-CL"/>
                <w14:ligatures w14:val="none"/>
              </w:rPr>
              <w:t>3 (3-4)</w:t>
            </w:r>
          </w:p>
        </w:tc>
      </w:tr>
      <w:tr w:rsidR="00796196" w:rsidRPr="005C3761" w14:paraId="536C201B" w14:textId="77777777" w:rsidTr="004B555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35" w:type="dxa"/>
            <w:shd w:val="clear" w:color="auto" w:fill="DAE9F7" w:themeFill="text2" w:themeFillTint="1A"/>
            <w:hideMark/>
          </w:tcPr>
          <w:p w14:paraId="6E86F6DF" w14:textId="77777777" w:rsidR="00796196" w:rsidRPr="005C3761" w:rsidRDefault="00796196" w:rsidP="004B5555">
            <w:pPr>
              <w:spacing w:line="480" w:lineRule="auto"/>
              <w:rPr>
                <w:rFonts w:ascii="Times New Roman" w:eastAsia="Times New Roman" w:hAnsi="Times New Roman" w:cs="Times New Roman"/>
                <w:b w:val="0"/>
                <w:bCs w:val="0"/>
                <w:color w:val="auto"/>
                <w:kern w:val="0"/>
                <w:sz w:val="24"/>
                <w:szCs w:val="24"/>
                <w:lang w:eastAsia="es-CL"/>
                <w14:ligatures w14:val="none"/>
              </w:rPr>
            </w:pPr>
            <w:r w:rsidRPr="00014977">
              <w:rPr>
                <w:rFonts w:ascii="Times New Roman" w:eastAsia="Times New Roman" w:hAnsi="Times New Roman" w:cs="Times New Roman"/>
                <w:b w:val="0"/>
                <w:bCs w:val="0"/>
                <w:color w:val="auto"/>
                <w:sz w:val="24"/>
                <w:szCs w:val="24"/>
                <w:lang w:eastAsia="es-CL"/>
              </w:rPr>
              <w:t>C</w:t>
            </w:r>
            <w:r w:rsidRPr="005C3761">
              <w:rPr>
                <w:rFonts w:ascii="Times New Roman" w:eastAsia="Times New Roman" w:hAnsi="Times New Roman" w:cs="Times New Roman"/>
                <w:b w:val="0"/>
                <w:bCs w:val="0"/>
                <w:color w:val="auto"/>
                <w:kern w:val="0"/>
                <w:sz w:val="24"/>
                <w:szCs w:val="24"/>
                <w:lang w:eastAsia="es-CL"/>
                <w14:ligatures w14:val="none"/>
              </w:rPr>
              <w:t>ilindros izquierda</w:t>
            </w:r>
            <w:r w:rsidRPr="00014977">
              <w:rPr>
                <w:rFonts w:ascii="Times New Roman" w:eastAsia="Times New Roman" w:hAnsi="Times New Roman" w:cs="Times New Roman"/>
                <w:b w:val="0"/>
                <w:bCs w:val="0"/>
                <w:color w:val="auto"/>
                <w:sz w:val="24"/>
                <w:szCs w:val="24"/>
                <w:lang w:eastAsia="es-CL"/>
              </w:rPr>
              <w:t>, mediana (RIC)</w:t>
            </w:r>
          </w:p>
        </w:tc>
        <w:tc>
          <w:tcPr>
            <w:tcW w:w="2800" w:type="dxa"/>
            <w:shd w:val="clear" w:color="auto" w:fill="DAE9F7" w:themeFill="text2" w:themeFillTint="1A"/>
            <w:hideMark/>
          </w:tcPr>
          <w:p w14:paraId="4AB9C29F" w14:textId="77777777" w:rsidR="00796196" w:rsidRPr="005C3761"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kern w:val="0"/>
                <w:sz w:val="24"/>
                <w:szCs w:val="24"/>
                <w:lang w:eastAsia="es-CL"/>
                <w14:ligatures w14:val="none"/>
              </w:rPr>
            </w:pPr>
            <w:r w:rsidRPr="005C3761">
              <w:rPr>
                <w:rFonts w:ascii="Times New Roman" w:eastAsia="Times New Roman" w:hAnsi="Times New Roman" w:cs="Times New Roman"/>
                <w:color w:val="auto"/>
                <w:kern w:val="0"/>
                <w:sz w:val="24"/>
                <w:szCs w:val="24"/>
                <w:lang w:eastAsia="es-CL"/>
                <w14:ligatures w14:val="none"/>
              </w:rPr>
              <w:t>6 (5-7)</w:t>
            </w:r>
          </w:p>
        </w:tc>
      </w:tr>
      <w:tr w:rsidR="00796196" w:rsidRPr="005C3761" w14:paraId="0858FD69" w14:textId="77777777" w:rsidTr="004B5555">
        <w:trPr>
          <w:trHeight w:val="567"/>
        </w:trPr>
        <w:tc>
          <w:tcPr>
            <w:cnfStyle w:val="001000000000" w:firstRow="0" w:lastRow="0" w:firstColumn="1" w:lastColumn="0" w:oddVBand="0" w:evenVBand="0" w:oddHBand="0" w:evenHBand="0" w:firstRowFirstColumn="0" w:firstRowLastColumn="0" w:lastRowFirstColumn="0" w:lastRowLastColumn="0"/>
            <w:tcW w:w="6135" w:type="dxa"/>
            <w:hideMark/>
          </w:tcPr>
          <w:p w14:paraId="76189D8C" w14:textId="77777777" w:rsidR="00796196" w:rsidRPr="005C3761" w:rsidRDefault="00796196" w:rsidP="004B5555">
            <w:pPr>
              <w:spacing w:line="480" w:lineRule="auto"/>
              <w:rPr>
                <w:rFonts w:ascii="Times New Roman" w:eastAsia="Times New Roman" w:hAnsi="Times New Roman" w:cs="Times New Roman"/>
                <w:b w:val="0"/>
                <w:bCs w:val="0"/>
                <w:color w:val="auto"/>
                <w:kern w:val="0"/>
                <w:sz w:val="24"/>
                <w:szCs w:val="24"/>
                <w:lang w:eastAsia="es-CL"/>
                <w14:ligatures w14:val="none"/>
              </w:rPr>
            </w:pPr>
            <w:r w:rsidRPr="00014977">
              <w:rPr>
                <w:rFonts w:ascii="Times New Roman" w:eastAsia="Times New Roman" w:hAnsi="Times New Roman" w:cs="Times New Roman"/>
                <w:b w:val="0"/>
                <w:bCs w:val="0"/>
                <w:color w:val="auto"/>
                <w:sz w:val="24"/>
                <w:szCs w:val="24"/>
                <w:lang w:eastAsia="es-CL"/>
              </w:rPr>
              <w:t>C</w:t>
            </w:r>
            <w:r w:rsidRPr="005C3761">
              <w:rPr>
                <w:rFonts w:ascii="Times New Roman" w:eastAsia="Times New Roman" w:hAnsi="Times New Roman" w:cs="Times New Roman"/>
                <w:b w:val="0"/>
                <w:bCs w:val="0"/>
                <w:color w:val="auto"/>
                <w:kern w:val="0"/>
                <w:sz w:val="24"/>
                <w:szCs w:val="24"/>
                <w:lang w:eastAsia="es-CL"/>
                <w14:ligatures w14:val="none"/>
              </w:rPr>
              <w:t>ilindros derecha</w:t>
            </w:r>
            <w:r w:rsidRPr="00014977">
              <w:rPr>
                <w:rFonts w:ascii="Times New Roman" w:eastAsia="Times New Roman" w:hAnsi="Times New Roman" w:cs="Times New Roman"/>
                <w:b w:val="0"/>
                <w:bCs w:val="0"/>
                <w:color w:val="auto"/>
                <w:sz w:val="24"/>
                <w:szCs w:val="24"/>
                <w:lang w:eastAsia="es-CL"/>
              </w:rPr>
              <w:t>, mediana (RIC)</w:t>
            </w:r>
          </w:p>
        </w:tc>
        <w:tc>
          <w:tcPr>
            <w:tcW w:w="2800" w:type="dxa"/>
            <w:hideMark/>
          </w:tcPr>
          <w:p w14:paraId="2960F9B9" w14:textId="77777777" w:rsidR="00796196" w:rsidRPr="005C3761"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kern w:val="0"/>
                <w:sz w:val="24"/>
                <w:szCs w:val="24"/>
                <w:lang w:eastAsia="es-CL"/>
                <w14:ligatures w14:val="none"/>
              </w:rPr>
            </w:pPr>
            <w:r w:rsidRPr="005C3761">
              <w:rPr>
                <w:rFonts w:ascii="Times New Roman" w:eastAsia="Times New Roman" w:hAnsi="Times New Roman" w:cs="Times New Roman"/>
                <w:color w:val="auto"/>
                <w:kern w:val="0"/>
                <w:sz w:val="24"/>
                <w:szCs w:val="24"/>
                <w:lang w:eastAsia="es-CL"/>
                <w14:ligatures w14:val="none"/>
              </w:rPr>
              <w:t>6 (5-7)</w:t>
            </w:r>
          </w:p>
        </w:tc>
      </w:tr>
    </w:tbl>
    <w:p w14:paraId="58FE5865" w14:textId="77777777" w:rsidR="00796196" w:rsidRPr="00FA0E73" w:rsidRDefault="00796196" w:rsidP="00796196">
      <w:pPr>
        <w:rPr>
          <w:rFonts w:ascii="Times New Roman" w:hAnsi="Times New Roman" w:cs="Times New Roman"/>
          <w:sz w:val="24"/>
          <w:szCs w:val="24"/>
        </w:rPr>
      </w:pPr>
    </w:p>
    <w:p w14:paraId="3091FDD3" w14:textId="77777777" w:rsidR="00796196" w:rsidRPr="00FA0E73" w:rsidRDefault="00796196" w:rsidP="00796196">
      <w:pPr>
        <w:spacing w:line="480" w:lineRule="auto"/>
        <w:rPr>
          <w:rFonts w:ascii="Times New Roman" w:hAnsi="Times New Roman" w:cs="Times New Roman"/>
          <w:sz w:val="24"/>
          <w:szCs w:val="24"/>
        </w:rPr>
      </w:pPr>
      <w:r w:rsidRPr="00FA0E73">
        <w:rPr>
          <w:rFonts w:ascii="Times New Roman" w:hAnsi="Times New Roman" w:cs="Times New Roman"/>
          <w:b/>
          <w:sz w:val="24"/>
          <w:szCs w:val="24"/>
        </w:rPr>
        <w:t>Notas:</w:t>
      </w:r>
    </w:p>
    <w:p w14:paraId="6BC3470A" w14:textId="77777777" w:rsidR="00796196" w:rsidRPr="00FA0E73" w:rsidRDefault="00796196" w:rsidP="00796196">
      <w:pPr>
        <w:spacing w:line="480" w:lineRule="auto"/>
        <w:rPr>
          <w:rFonts w:ascii="Times New Roman" w:hAnsi="Times New Roman" w:cs="Times New Roman"/>
          <w:sz w:val="24"/>
          <w:szCs w:val="24"/>
        </w:rPr>
      </w:pPr>
      <w:r w:rsidRPr="00FA0E73">
        <w:rPr>
          <w:rFonts w:ascii="Times New Roman" w:hAnsi="Times New Roman" w:cs="Times New Roman"/>
          <w:sz w:val="24"/>
          <w:szCs w:val="24"/>
        </w:rPr>
        <w:t xml:space="preserve">• Valores continuos expresados como mediana (rango </w:t>
      </w:r>
      <w:proofErr w:type="gramStart"/>
      <w:r w:rsidRPr="00FA0E73">
        <w:rPr>
          <w:rFonts w:ascii="Times New Roman" w:hAnsi="Times New Roman" w:cs="Times New Roman"/>
          <w:sz w:val="24"/>
          <w:szCs w:val="24"/>
        </w:rPr>
        <w:t>intercuartílico</w:t>
      </w:r>
      <w:r>
        <w:rPr>
          <w:rFonts w:ascii="Times New Roman" w:hAnsi="Times New Roman" w:cs="Times New Roman"/>
          <w:sz w:val="24"/>
          <w:szCs w:val="24"/>
        </w:rPr>
        <w:t>[</w:t>
      </w:r>
      <w:proofErr w:type="gramEnd"/>
      <w:r>
        <w:rPr>
          <w:rFonts w:ascii="Times New Roman" w:hAnsi="Times New Roman" w:cs="Times New Roman"/>
          <w:sz w:val="24"/>
          <w:szCs w:val="24"/>
        </w:rPr>
        <w:t>RIC]</w:t>
      </w:r>
      <w:r w:rsidRPr="00FA0E73">
        <w:rPr>
          <w:rFonts w:ascii="Times New Roman" w:hAnsi="Times New Roman" w:cs="Times New Roman"/>
          <w:sz w:val="24"/>
          <w:szCs w:val="24"/>
        </w:rPr>
        <w:t>).</w:t>
      </w:r>
    </w:p>
    <w:p w14:paraId="3D893E19" w14:textId="77777777" w:rsidR="00796196" w:rsidRPr="00FA0E73" w:rsidRDefault="00796196" w:rsidP="00796196">
      <w:pPr>
        <w:spacing w:line="480" w:lineRule="auto"/>
        <w:rPr>
          <w:rFonts w:ascii="Times New Roman" w:hAnsi="Times New Roman" w:cs="Times New Roman"/>
          <w:sz w:val="24"/>
          <w:szCs w:val="24"/>
        </w:rPr>
      </w:pPr>
      <w:r w:rsidRPr="00FA0E73">
        <w:rPr>
          <w:rFonts w:ascii="Times New Roman" w:hAnsi="Times New Roman" w:cs="Times New Roman"/>
          <w:sz w:val="24"/>
          <w:szCs w:val="24"/>
        </w:rPr>
        <w:t>• Porcentajes expresados como n (%)</w:t>
      </w:r>
    </w:p>
    <w:p w14:paraId="55201B79" w14:textId="77777777" w:rsidR="00796196" w:rsidRPr="00FA0E73" w:rsidRDefault="00796196" w:rsidP="00796196">
      <w:pPr>
        <w:spacing w:line="480" w:lineRule="auto"/>
        <w:rPr>
          <w:rFonts w:ascii="Times New Roman" w:hAnsi="Times New Roman" w:cs="Times New Roman"/>
          <w:sz w:val="24"/>
          <w:szCs w:val="24"/>
        </w:rPr>
      </w:pPr>
      <w:r w:rsidRPr="00FA0E73">
        <w:rPr>
          <w:rFonts w:ascii="Times New Roman" w:hAnsi="Times New Roman" w:cs="Times New Roman"/>
          <w:sz w:val="24"/>
          <w:szCs w:val="24"/>
        </w:rPr>
        <w:t>• APE: antígeno prostático específico</w:t>
      </w:r>
    </w:p>
    <w:p w14:paraId="4BCADB5B" w14:textId="77777777" w:rsidR="00796196" w:rsidRPr="00FA0E73" w:rsidRDefault="00796196" w:rsidP="00796196">
      <w:pPr>
        <w:rPr>
          <w:rFonts w:ascii="Times New Roman" w:hAnsi="Times New Roman" w:cs="Times New Roman"/>
          <w:sz w:val="24"/>
          <w:szCs w:val="24"/>
        </w:rPr>
      </w:pPr>
      <w:r w:rsidRPr="00FA0E73">
        <w:rPr>
          <w:rFonts w:ascii="Times New Roman" w:hAnsi="Times New Roman" w:cs="Times New Roman"/>
          <w:sz w:val="24"/>
          <w:szCs w:val="24"/>
        </w:rPr>
        <w:br w:type="page"/>
      </w:r>
    </w:p>
    <w:p w14:paraId="404E0933" w14:textId="77777777" w:rsidR="00796196" w:rsidRPr="00FA0E73" w:rsidRDefault="00796196" w:rsidP="00796196">
      <w:pPr>
        <w:rPr>
          <w:rFonts w:ascii="Times New Roman" w:hAnsi="Times New Roman" w:cs="Times New Roman"/>
          <w:b/>
          <w:sz w:val="24"/>
          <w:szCs w:val="24"/>
        </w:rPr>
      </w:pPr>
      <w:r w:rsidRPr="00FA0E73">
        <w:rPr>
          <w:rFonts w:ascii="Times New Roman" w:hAnsi="Times New Roman" w:cs="Times New Roman"/>
          <w:b/>
          <w:sz w:val="24"/>
          <w:szCs w:val="24"/>
        </w:rPr>
        <w:lastRenderedPageBreak/>
        <w:t>Tabla 2. Resultados de las biopsias</w:t>
      </w:r>
    </w:p>
    <w:tbl>
      <w:tblPr>
        <w:tblStyle w:val="Tabladecuadrcula4"/>
        <w:tblW w:w="10180" w:type="dxa"/>
        <w:tblLook w:val="04A0" w:firstRow="1" w:lastRow="0" w:firstColumn="1" w:lastColumn="0" w:noHBand="0" w:noVBand="1"/>
      </w:tblPr>
      <w:tblGrid>
        <w:gridCol w:w="3818"/>
        <w:gridCol w:w="702"/>
        <w:gridCol w:w="820"/>
        <w:gridCol w:w="800"/>
        <w:gridCol w:w="780"/>
        <w:gridCol w:w="820"/>
        <w:gridCol w:w="840"/>
        <w:gridCol w:w="1600"/>
      </w:tblGrid>
      <w:tr w:rsidR="00796196" w:rsidRPr="00384C2A" w14:paraId="30D5DFCB" w14:textId="77777777" w:rsidTr="004B555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80" w:type="dxa"/>
            <w:gridSpan w:val="7"/>
            <w:vAlign w:val="bottom"/>
            <w:hideMark/>
          </w:tcPr>
          <w:p w14:paraId="0CC3CCE3" w14:textId="77777777" w:rsidR="00796196" w:rsidRPr="00384C2A" w:rsidRDefault="00796196" w:rsidP="004B5555">
            <w:pPr>
              <w:spacing w:line="480" w:lineRule="auto"/>
              <w:jc w:val="center"/>
              <w:rPr>
                <w:rFonts w:ascii="Times New Roman" w:eastAsia="Times New Roman" w:hAnsi="Times New Roman" w:cs="Times New Roman"/>
                <w:color w:val="000000"/>
                <w:kern w:val="0"/>
                <w:sz w:val="24"/>
                <w:szCs w:val="24"/>
                <w:lang w:eastAsia="es-CL"/>
                <w14:ligatures w14:val="none"/>
              </w:rPr>
            </w:pPr>
            <w:proofErr w:type="gramStart"/>
            <w:r>
              <w:rPr>
                <w:rFonts w:ascii="Times New Roman" w:eastAsia="Times New Roman" w:hAnsi="Times New Roman" w:cs="Times New Roman"/>
                <w:kern w:val="0"/>
                <w:sz w:val="24"/>
                <w:szCs w:val="24"/>
                <w:lang w:eastAsia="es-CL"/>
                <w14:ligatures w14:val="none"/>
              </w:rPr>
              <w:t>TOTAL</w:t>
            </w:r>
            <w:proofErr w:type="gramEnd"/>
            <w:r>
              <w:rPr>
                <w:rFonts w:ascii="Times New Roman" w:eastAsia="Times New Roman" w:hAnsi="Times New Roman" w:cs="Times New Roman"/>
                <w:kern w:val="0"/>
                <w:sz w:val="24"/>
                <w:szCs w:val="24"/>
                <w:lang w:eastAsia="es-CL"/>
                <w14:ligatures w14:val="none"/>
              </w:rPr>
              <w:t xml:space="preserve"> DE B</w:t>
            </w:r>
            <w:r w:rsidRPr="00384C2A">
              <w:rPr>
                <w:rFonts w:ascii="Times New Roman" w:eastAsia="Times New Roman" w:hAnsi="Times New Roman" w:cs="Times New Roman"/>
                <w:kern w:val="0"/>
                <w:sz w:val="24"/>
                <w:szCs w:val="24"/>
                <w:lang w:eastAsia="es-CL"/>
                <w14:ligatures w14:val="none"/>
              </w:rPr>
              <w:t>IOPSIAS POR FUSIÓN COMBINADA ANALIZADAS [</w:t>
            </w:r>
            <w:r>
              <w:rPr>
                <w:rFonts w:ascii="Times New Roman" w:eastAsia="Times New Roman" w:hAnsi="Times New Roman" w:cs="Times New Roman"/>
                <w:kern w:val="0"/>
                <w:sz w:val="24"/>
                <w:szCs w:val="24"/>
                <w:lang w:eastAsia="es-CL"/>
                <w14:ligatures w14:val="none"/>
              </w:rPr>
              <w:t>N</w:t>
            </w:r>
            <w:r w:rsidRPr="00384C2A">
              <w:rPr>
                <w:rFonts w:ascii="Times New Roman" w:eastAsia="Times New Roman" w:hAnsi="Times New Roman" w:cs="Times New Roman"/>
                <w:kern w:val="0"/>
                <w:sz w:val="24"/>
                <w:szCs w:val="24"/>
                <w:lang w:eastAsia="es-CL"/>
                <w14:ligatures w14:val="none"/>
              </w:rPr>
              <w:t xml:space="preserve"> (%)]</w:t>
            </w:r>
          </w:p>
        </w:tc>
        <w:tc>
          <w:tcPr>
            <w:tcW w:w="1600" w:type="dxa"/>
            <w:vAlign w:val="bottom"/>
            <w:hideMark/>
          </w:tcPr>
          <w:p w14:paraId="4E97CE65" w14:textId="77777777" w:rsidR="00796196" w:rsidRPr="00384C2A" w:rsidRDefault="00796196" w:rsidP="004B555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kern w:val="0"/>
                <w:sz w:val="24"/>
                <w:szCs w:val="24"/>
                <w:lang w:eastAsia="es-CL"/>
                <w14:ligatures w14:val="none"/>
              </w:rPr>
              <w:t>651 (100%)</w:t>
            </w:r>
          </w:p>
        </w:tc>
      </w:tr>
      <w:tr w:rsidR="00796196" w:rsidRPr="00384C2A" w14:paraId="04B00C26"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DAE9F7" w:themeFill="text2" w:themeFillTint="1A"/>
            <w:vAlign w:val="bottom"/>
            <w:hideMark/>
          </w:tcPr>
          <w:p w14:paraId="17F74631"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Biopsias negativa</w:t>
            </w:r>
            <w:r w:rsidRPr="00384C2A">
              <w:rPr>
                <w:rFonts w:ascii="Times New Roman" w:eastAsia="Times New Roman" w:hAnsi="Times New Roman" w:cs="Times New Roman"/>
                <w:b w:val="0"/>
                <w:bCs w:val="0"/>
                <w:color w:val="000000"/>
                <w:kern w:val="0"/>
                <w:sz w:val="24"/>
                <w:szCs w:val="24"/>
                <w:lang w:eastAsia="es-CL"/>
                <w14:ligatures w14:val="none"/>
              </w:rPr>
              <w:t>s</w:t>
            </w:r>
            <w:r w:rsidRPr="00384C2A">
              <w:rPr>
                <w:rFonts w:ascii="Times New Roman" w:eastAsia="Times New Roman" w:hAnsi="Times New Roman" w:cs="Times New Roman"/>
                <w:color w:val="000000"/>
                <w:kern w:val="0"/>
                <w:sz w:val="24"/>
                <w:szCs w:val="24"/>
                <w:lang w:eastAsia="es-CL"/>
                <w14:ligatures w14:val="none"/>
              </w:rPr>
              <w:t xml:space="preserve"> [n (%)]</w:t>
            </w:r>
          </w:p>
        </w:tc>
        <w:tc>
          <w:tcPr>
            <w:tcW w:w="1600" w:type="dxa"/>
            <w:shd w:val="clear" w:color="auto" w:fill="DAE9F7" w:themeFill="text2" w:themeFillTint="1A"/>
            <w:vAlign w:val="bottom"/>
            <w:hideMark/>
          </w:tcPr>
          <w:p w14:paraId="044C784E"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187 (28,7%)</w:t>
            </w:r>
          </w:p>
        </w:tc>
      </w:tr>
      <w:tr w:rsidR="00796196" w:rsidRPr="00384C2A" w14:paraId="05C3F2F2" w14:textId="77777777" w:rsidTr="004B5555">
        <w:trPr>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DAE9F7" w:themeFill="text2" w:themeFillTint="1A"/>
            <w:vAlign w:val="bottom"/>
            <w:hideMark/>
          </w:tcPr>
          <w:p w14:paraId="70CED00A"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Biopsias positivas para cualquier cáncer [n (%)]</w:t>
            </w:r>
          </w:p>
        </w:tc>
        <w:tc>
          <w:tcPr>
            <w:tcW w:w="1600" w:type="dxa"/>
            <w:shd w:val="clear" w:color="auto" w:fill="DAE9F7" w:themeFill="text2" w:themeFillTint="1A"/>
            <w:vAlign w:val="bottom"/>
            <w:hideMark/>
          </w:tcPr>
          <w:p w14:paraId="490FFF5A"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464 (71,3%)</w:t>
            </w:r>
          </w:p>
        </w:tc>
      </w:tr>
      <w:tr w:rsidR="00796196" w:rsidRPr="00384C2A" w14:paraId="03A39170"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DAE9F7" w:themeFill="text2" w:themeFillTint="1A"/>
            <w:vAlign w:val="bottom"/>
            <w:hideMark/>
          </w:tcPr>
          <w:p w14:paraId="494BD9D2"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Biopsias positivas para cáncer clínicamente significativo [n (%)]</w:t>
            </w:r>
          </w:p>
        </w:tc>
        <w:tc>
          <w:tcPr>
            <w:tcW w:w="1600" w:type="dxa"/>
            <w:shd w:val="clear" w:color="auto" w:fill="DAE9F7" w:themeFill="text2" w:themeFillTint="1A"/>
            <w:vAlign w:val="bottom"/>
            <w:hideMark/>
          </w:tcPr>
          <w:p w14:paraId="7DF0380F"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285 (43,8%)</w:t>
            </w:r>
          </w:p>
        </w:tc>
      </w:tr>
      <w:tr w:rsidR="00796196" w:rsidRPr="00384C2A" w14:paraId="77C0A907" w14:textId="77777777" w:rsidTr="004B5555">
        <w:trPr>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DAE9F7" w:themeFill="text2" w:themeFillTint="1A"/>
            <w:vAlign w:val="bottom"/>
            <w:hideMark/>
          </w:tcPr>
          <w:p w14:paraId="350F1E13"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 xml:space="preserve">Biopsias con peor ISUP en sistemática que en </w:t>
            </w:r>
            <w:proofErr w:type="gramStart"/>
            <w:r w:rsidRPr="00384C2A">
              <w:rPr>
                <w:rFonts w:ascii="Times New Roman" w:eastAsia="Times New Roman" w:hAnsi="Times New Roman" w:cs="Times New Roman"/>
                <w:color w:val="000000"/>
                <w:kern w:val="0"/>
                <w:sz w:val="24"/>
                <w:szCs w:val="24"/>
                <w:lang w:eastAsia="es-CL"/>
                <w14:ligatures w14:val="none"/>
              </w:rPr>
              <w:t>target</w:t>
            </w:r>
            <w:proofErr w:type="gramEnd"/>
            <w:r w:rsidRPr="00384C2A">
              <w:rPr>
                <w:rFonts w:ascii="Times New Roman" w:eastAsia="Times New Roman" w:hAnsi="Times New Roman" w:cs="Times New Roman"/>
                <w:color w:val="000000"/>
                <w:kern w:val="0"/>
                <w:sz w:val="24"/>
                <w:szCs w:val="24"/>
                <w:lang w:eastAsia="es-CL"/>
                <w14:ligatures w14:val="none"/>
              </w:rPr>
              <w:t xml:space="preserve"> [n (%)]</w:t>
            </w:r>
          </w:p>
        </w:tc>
        <w:tc>
          <w:tcPr>
            <w:tcW w:w="1600" w:type="dxa"/>
            <w:shd w:val="clear" w:color="auto" w:fill="DAE9F7" w:themeFill="text2" w:themeFillTint="1A"/>
            <w:vAlign w:val="bottom"/>
            <w:hideMark/>
          </w:tcPr>
          <w:p w14:paraId="20019512"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73 (11,2%)</w:t>
            </w:r>
          </w:p>
        </w:tc>
      </w:tr>
      <w:tr w:rsidR="00796196" w:rsidRPr="00384C2A" w14:paraId="680D3ABB"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DAE9F7" w:themeFill="text2" w:themeFillTint="1A"/>
            <w:vAlign w:val="bottom"/>
            <w:hideMark/>
          </w:tcPr>
          <w:p w14:paraId="35217B69"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 xml:space="preserve">Biopsias sistemáticas ISUP&gt;=2, con Bp </w:t>
            </w:r>
            <w:proofErr w:type="gramStart"/>
            <w:r w:rsidRPr="00384C2A">
              <w:rPr>
                <w:rFonts w:ascii="Times New Roman" w:eastAsia="Times New Roman" w:hAnsi="Times New Roman" w:cs="Times New Roman"/>
                <w:color w:val="000000"/>
                <w:kern w:val="0"/>
                <w:sz w:val="24"/>
                <w:szCs w:val="24"/>
                <w:lang w:eastAsia="es-CL"/>
                <w14:ligatures w14:val="none"/>
              </w:rPr>
              <w:t>target</w:t>
            </w:r>
            <w:proofErr w:type="gramEnd"/>
            <w:r w:rsidRPr="00384C2A">
              <w:rPr>
                <w:rFonts w:ascii="Times New Roman" w:eastAsia="Times New Roman" w:hAnsi="Times New Roman" w:cs="Times New Roman"/>
                <w:color w:val="000000"/>
                <w:kern w:val="0"/>
                <w:sz w:val="24"/>
                <w:szCs w:val="24"/>
                <w:lang w:eastAsia="es-CL"/>
                <w14:ligatures w14:val="none"/>
              </w:rPr>
              <w:t xml:space="preserve"> negativa o ISUP 1 [n (%)]</w:t>
            </w:r>
          </w:p>
        </w:tc>
        <w:tc>
          <w:tcPr>
            <w:tcW w:w="1600" w:type="dxa"/>
            <w:shd w:val="clear" w:color="auto" w:fill="DAE9F7" w:themeFill="text2" w:themeFillTint="1A"/>
            <w:vAlign w:val="bottom"/>
            <w:hideMark/>
          </w:tcPr>
          <w:p w14:paraId="60884D60" w14:textId="5036F71A"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5</w:t>
            </w:r>
            <w:r w:rsidR="00C6733B">
              <w:rPr>
                <w:rFonts w:ascii="Times New Roman" w:eastAsia="Times New Roman" w:hAnsi="Times New Roman" w:cs="Times New Roman"/>
                <w:color w:val="000000"/>
                <w:kern w:val="0"/>
                <w:sz w:val="24"/>
                <w:szCs w:val="24"/>
                <w:lang w:eastAsia="es-CL"/>
                <w14:ligatures w14:val="none"/>
              </w:rPr>
              <w:t>8</w:t>
            </w:r>
            <w:r w:rsidRPr="00384C2A">
              <w:rPr>
                <w:rFonts w:ascii="Times New Roman" w:eastAsia="Times New Roman" w:hAnsi="Times New Roman" w:cs="Times New Roman"/>
                <w:color w:val="000000"/>
                <w:kern w:val="0"/>
                <w:sz w:val="24"/>
                <w:szCs w:val="24"/>
                <w:lang w:eastAsia="es-CL"/>
                <w14:ligatures w14:val="none"/>
              </w:rPr>
              <w:t xml:space="preserve"> (8,</w:t>
            </w:r>
            <w:r w:rsidR="00C6733B">
              <w:rPr>
                <w:rFonts w:ascii="Times New Roman" w:eastAsia="Times New Roman" w:hAnsi="Times New Roman" w:cs="Times New Roman"/>
                <w:color w:val="000000"/>
                <w:kern w:val="0"/>
                <w:sz w:val="24"/>
                <w:szCs w:val="24"/>
                <w:lang w:eastAsia="es-CL"/>
                <w14:ligatures w14:val="none"/>
              </w:rPr>
              <w:t>9</w:t>
            </w:r>
            <w:r w:rsidRPr="00384C2A">
              <w:rPr>
                <w:rFonts w:ascii="Times New Roman" w:eastAsia="Times New Roman" w:hAnsi="Times New Roman" w:cs="Times New Roman"/>
                <w:color w:val="000000"/>
                <w:kern w:val="0"/>
                <w:sz w:val="24"/>
                <w:szCs w:val="24"/>
                <w:lang w:eastAsia="es-CL"/>
                <w14:ligatures w14:val="none"/>
              </w:rPr>
              <w:t>%)</w:t>
            </w:r>
          </w:p>
        </w:tc>
      </w:tr>
      <w:tr w:rsidR="00796196" w:rsidRPr="00D51CA3" w14:paraId="4BD28B3B" w14:textId="77777777" w:rsidTr="004B5555">
        <w:trPr>
          <w:trHeight w:val="127"/>
        </w:trPr>
        <w:tc>
          <w:tcPr>
            <w:cnfStyle w:val="001000000000" w:firstRow="0" w:lastRow="0" w:firstColumn="1" w:lastColumn="0" w:oddVBand="0" w:evenVBand="0" w:oddHBand="0" w:evenHBand="0" w:firstRowFirstColumn="0" w:firstRowLastColumn="0" w:lastRowFirstColumn="0" w:lastRowLastColumn="0"/>
            <w:tcW w:w="10180" w:type="dxa"/>
            <w:gridSpan w:val="8"/>
            <w:vAlign w:val="bottom"/>
          </w:tcPr>
          <w:p w14:paraId="5E93167C" w14:textId="77777777" w:rsidR="00796196" w:rsidRPr="00D51CA3" w:rsidRDefault="00796196" w:rsidP="004B5555">
            <w:pPr>
              <w:spacing w:line="480" w:lineRule="auto"/>
              <w:jc w:val="center"/>
              <w:rPr>
                <w:rFonts w:ascii="Times New Roman" w:eastAsia="Times New Roman" w:hAnsi="Times New Roman" w:cs="Times New Roman"/>
                <w:color w:val="000000"/>
                <w:kern w:val="0"/>
                <w:sz w:val="6"/>
                <w:szCs w:val="6"/>
                <w:lang w:eastAsia="es-CL"/>
                <w14:ligatures w14:val="none"/>
              </w:rPr>
            </w:pPr>
          </w:p>
        </w:tc>
      </w:tr>
      <w:tr w:rsidR="00796196" w:rsidRPr="00384C2A" w14:paraId="00B0C07F"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18" w:type="dxa"/>
            <w:shd w:val="clear" w:color="auto" w:fill="A5C9EB" w:themeFill="text2" w:themeFillTint="40"/>
            <w:vAlign w:val="bottom"/>
            <w:hideMark/>
          </w:tcPr>
          <w:p w14:paraId="67343DC2"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Pr>
                <w:rFonts w:ascii="Times New Roman" w:eastAsia="Times New Roman" w:hAnsi="Times New Roman" w:cs="Times New Roman"/>
                <w:color w:val="000000"/>
                <w:kern w:val="0"/>
                <w:sz w:val="24"/>
                <w:szCs w:val="24"/>
                <w:lang w:eastAsia="es-CL"/>
                <w14:ligatures w14:val="none"/>
              </w:rPr>
              <w:t>L</w:t>
            </w:r>
            <w:r w:rsidRPr="00384C2A">
              <w:rPr>
                <w:rFonts w:ascii="Times New Roman" w:eastAsia="Times New Roman" w:hAnsi="Times New Roman" w:cs="Times New Roman"/>
                <w:color w:val="000000"/>
                <w:kern w:val="0"/>
                <w:sz w:val="24"/>
                <w:szCs w:val="24"/>
                <w:lang w:eastAsia="es-CL"/>
                <w14:ligatures w14:val="none"/>
              </w:rPr>
              <w:t>esión PI-RADS índice</w:t>
            </w:r>
          </w:p>
        </w:tc>
        <w:tc>
          <w:tcPr>
            <w:tcW w:w="702" w:type="dxa"/>
            <w:shd w:val="clear" w:color="auto" w:fill="A5C9EB" w:themeFill="text2" w:themeFillTint="40"/>
            <w:vAlign w:val="bottom"/>
            <w:hideMark/>
          </w:tcPr>
          <w:p w14:paraId="5A3227D2"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Neg</w:t>
            </w:r>
          </w:p>
        </w:tc>
        <w:tc>
          <w:tcPr>
            <w:tcW w:w="820" w:type="dxa"/>
            <w:shd w:val="clear" w:color="auto" w:fill="A5C9EB" w:themeFill="text2" w:themeFillTint="40"/>
            <w:vAlign w:val="bottom"/>
            <w:hideMark/>
          </w:tcPr>
          <w:p w14:paraId="512E9627"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1</w:t>
            </w:r>
          </w:p>
        </w:tc>
        <w:tc>
          <w:tcPr>
            <w:tcW w:w="800" w:type="dxa"/>
            <w:shd w:val="clear" w:color="auto" w:fill="A5C9EB" w:themeFill="text2" w:themeFillTint="40"/>
            <w:vAlign w:val="bottom"/>
            <w:hideMark/>
          </w:tcPr>
          <w:p w14:paraId="03434178"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2</w:t>
            </w:r>
          </w:p>
        </w:tc>
        <w:tc>
          <w:tcPr>
            <w:tcW w:w="780" w:type="dxa"/>
            <w:shd w:val="clear" w:color="auto" w:fill="A5C9EB" w:themeFill="text2" w:themeFillTint="40"/>
            <w:vAlign w:val="bottom"/>
            <w:hideMark/>
          </w:tcPr>
          <w:p w14:paraId="46335044"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3</w:t>
            </w:r>
          </w:p>
        </w:tc>
        <w:tc>
          <w:tcPr>
            <w:tcW w:w="820" w:type="dxa"/>
            <w:shd w:val="clear" w:color="auto" w:fill="A5C9EB" w:themeFill="text2" w:themeFillTint="40"/>
            <w:vAlign w:val="bottom"/>
            <w:hideMark/>
          </w:tcPr>
          <w:p w14:paraId="399B18F9"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4</w:t>
            </w:r>
          </w:p>
        </w:tc>
        <w:tc>
          <w:tcPr>
            <w:tcW w:w="840" w:type="dxa"/>
            <w:shd w:val="clear" w:color="auto" w:fill="A5C9EB" w:themeFill="text2" w:themeFillTint="40"/>
            <w:vAlign w:val="bottom"/>
            <w:hideMark/>
          </w:tcPr>
          <w:p w14:paraId="0E19D1E4"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5</w:t>
            </w:r>
          </w:p>
        </w:tc>
        <w:tc>
          <w:tcPr>
            <w:tcW w:w="1600" w:type="dxa"/>
            <w:shd w:val="clear" w:color="auto" w:fill="A5C9EB" w:themeFill="text2" w:themeFillTint="40"/>
            <w:vAlign w:val="bottom"/>
            <w:hideMark/>
          </w:tcPr>
          <w:p w14:paraId="0F95CB9B"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Total</w:t>
            </w:r>
          </w:p>
        </w:tc>
      </w:tr>
      <w:tr w:rsidR="00796196" w:rsidRPr="00384C2A" w14:paraId="464F5854" w14:textId="77777777" w:rsidTr="004B5555">
        <w:trPr>
          <w:trHeight w:val="600"/>
        </w:trPr>
        <w:tc>
          <w:tcPr>
            <w:cnfStyle w:val="001000000000" w:firstRow="0" w:lastRow="0" w:firstColumn="1" w:lastColumn="0" w:oddVBand="0" w:evenVBand="0" w:oddHBand="0" w:evenHBand="0" w:firstRowFirstColumn="0" w:firstRowLastColumn="0" w:lastRowFirstColumn="0" w:lastRowLastColumn="0"/>
            <w:tcW w:w="3818" w:type="dxa"/>
            <w:shd w:val="clear" w:color="auto" w:fill="DAE9F7" w:themeFill="text2" w:themeFillTint="1A"/>
            <w:vAlign w:val="bottom"/>
            <w:hideMark/>
          </w:tcPr>
          <w:p w14:paraId="17D56AAE" w14:textId="77777777" w:rsidR="00796196" w:rsidRPr="00384C2A" w:rsidRDefault="00796196" w:rsidP="004B5555">
            <w:pPr>
              <w:spacing w:line="480" w:lineRule="auto"/>
              <w:jc w:val="right"/>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PI-RADS 3</w:t>
            </w:r>
          </w:p>
        </w:tc>
        <w:tc>
          <w:tcPr>
            <w:tcW w:w="702" w:type="dxa"/>
            <w:shd w:val="clear" w:color="auto" w:fill="DAE9F7" w:themeFill="text2" w:themeFillTint="1A"/>
            <w:vAlign w:val="bottom"/>
            <w:hideMark/>
          </w:tcPr>
          <w:p w14:paraId="716A64EF"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66</w:t>
            </w:r>
          </w:p>
        </w:tc>
        <w:tc>
          <w:tcPr>
            <w:tcW w:w="820" w:type="dxa"/>
            <w:shd w:val="clear" w:color="auto" w:fill="DAE9F7" w:themeFill="text2" w:themeFillTint="1A"/>
            <w:vAlign w:val="bottom"/>
            <w:hideMark/>
          </w:tcPr>
          <w:p w14:paraId="19AF145C"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13</w:t>
            </w:r>
          </w:p>
        </w:tc>
        <w:tc>
          <w:tcPr>
            <w:tcW w:w="800" w:type="dxa"/>
            <w:shd w:val="clear" w:color="auto" w:fill="DAE9F7" w:themeFill="text2" w:themeFillTint="1A"/>
            <w:vAlign w:val="bottom"/>
            <w:hideMark/>
          </w:tcPr>
          <w:p w14:paraId="6CACBC1A"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8</w:t>
            </w:r>
          </w:p>
        </w:tc>
        <w:tc>
          <w:tcPr>
            <w:tcW w:w="780" w:type="dxa"/>
            <w:shd w:val="clear" w:color="auto" w:fill="DAE9F7" w:themeFill="text2" w:themeFillTint="1A"/>
            <w:vAlign w:val="bottom"/>
            <w:hideMark/>
          </w:tcPr>
          <w:p w14:paraId="39B91181"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w:t>
            </w:r>
          </w:p>
        </w:tc>
        <w:tc>
          <w:tcPr>
            <w:tcW w:w="820" w:type="dxa"/>
            <w:shd w:val="clear" w:color="auto" w:fill="DAE9F7" w:themeFill="text2" w:themeFillTint="1A"/>
            <w:vAlign w:val="bottom"/>
            <w:hideMark/>
          </w:tcPr>
          <w:p w14:paraId="0BE1569C"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840" w:type="dxa"/>
            <w:shd w:val="clear" w:color="auto" w:fill="DAE9F7" w:themeFill="text2" w:themeFillTint="1A"/>
            <w:vAlign w:val="bottom"/>
            <w:hideMark/>
          </w:tcPr>
          <w:p w14:paraId="5EC462DB"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w:t>
            </w:r>
          </w:p>
        </w:tc>
        <w:tc>
          <w:tcPr>
            <w:tcW w:w="1600" w:type="dxa"/>
            <w:shd w:val="clear" w:color="auto" w:fill="DAE9F7" w:themeFill="text2" w:themeFillTint="1A"/>
            <w:vAlign w:val="bottom"/>
            <w:hideMark/>
          </w:tcPr>
          <w:p w14:paraId="2F1150A3"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89</w:t>
            </w:r>
          </w:p>
        </w:tc>
      </w:tr>
      <w:tr w:rsidR="00796196" w:rsidRPr="00384C2A" w14:paraId="1C683AE8"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18" w:type="dxa"/>
            <w:shd w:val="clear" w:color="auto" w:fill="DAE9F7" w:themeFill="text2" w:themeFillTint="1A"/>
            <w:vAlign w:val="bottom"/>
            <w:hideMark/>
          </w:tcPr>
          <w:p w14:paraId="6CFC638F" w14:textId="77777777" w:rsidR="00796196" w:rsidRPr="00384C2A" w:rsidRDefault="00796196" w:rsidP="004B5555">
            <w:pPr>
              <w:spacing w:line="480" w:lineRule="auto"/>
              <w:jc w:val="right"/>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PI-RADS 4</w:t>
            </w:r>
          </w:p>
        </w:tc>
        <w:tc>
          <w:tcPr>
            <w:tcW w:w="702" w:type="dxa"/>
            <w:shd w:val="clear" w:color="auto" w:fill="DAE9F7" w:themeFill="text2" w:themeFillTint="1A"/>
            <w:vAlign w:val="bottom"/>
            <w:hideMark/>
          </w:tcPr>
          <w:p w14:paraId="29844502"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158</w:t>
            </w:r>
          </w:p>
        </w:tc>
        <w:tc>
          <w:tcPr>
            <w:tcW w:w="820" w:type="dxa"/>
            <w:shd w:val="clear" w:color="auto" w:fill="DAE9F7" w:themeFill="text2" w:themeFillTint="1A"/>
            <w:vAlign w:val="bottom"/>
            <w:hideMark/>
          </w:tcPr>
          <w:p w14:paraId="52583278"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114</w:t>
            </w:r>
          </w:p>
        </w:tc>
        <w:tc>
          <w:tcPr>
            <w:tcW w:w="800" w:type="dxa"/>
            <w:shd w:val="clear" w:color="auto" w:fill="DAE9F7" w:themeFill="text2" w:themeFillTint="1A"/>
            <w:vAlign w:val="bottom"/>
            <w:hideMark/>
          </w:tcPr>
          <w:p w14:paraId="1C951025"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81</w:t>
            </w:r>
          </w:p>
        </w:tc>
        <w:tc>
          <w:tcPr>
            <w:tcW w:w="780" w:type="dxa"/>
            <w:shd w:val="clear" w:color="auto" w:fill="DAE9F7" w:themeFill="text2" w:themeFillTint="1A"/>
            <w:vAlign w:val="bottom"/>
            <w:hideMark/>
          </w:tcPr>
          <w:p w14:paraId="1D991A29"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32</w:t>
            </w:r>
          </w:p>
        </w:tc>
        <w:tc>
          <w:tcPr>
            <w:tcW w:w="820" w:type="dxa"/>
            <w:shd w:val="clear" w:color="auto" w:fill="DAE9F7" w:themeFill="text2" w:themeFillTint="1A"/>
            <w:vAlign w:val="bottom"/>
            <w:hideMark/>
          </w:tcPr>
          <w:p w14:paraId="158D4BA6"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3</w:t>
            </w:r>
          </w:p>
        </w:tc>
        <w:tc>
          <w:tcPr>
            <w:tcW w:w="840" w:type="dxa"/>
            <w:shd w:val="clear" w:color="auto" w:fill="DAE9F7" w:themeFill="text2" w:themeFillTint="1A"/>
            <w:vAlign w:val="bottom"/>
            <w:hideMark/>
          </w:tcPr>
          <w:p w14:paraId="689BCDFC"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4</w:t>
            </w:r>
          </w:p>
        </w:tc>
        <w:tc>
          <w:tcPr>
            <w:tcW w:w="1600" w:type="dxa"/>
            <w:shd w:val="clear" w:color="auto" w:fill="DAE9F7" w:themeFill="text2" w:themeFillTint="1A"/>
            <w:vAlign w:val="bottom"/>
            <w:hideMark/>
          </w:tcPr>
          <w:p w14:paraId="3C3A1C9B"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392</w:t>
            </w:r>
          </w:p>
        </w:tc>
      </w:tr>
      <w:tr w:rsidR="00796196" w:rsidRPr="00384C2A" w14:paraId="79244E06" w14:textId="77777777" w:rsidTr="004B5555">
        <w:trPr>
          <w:trHeight w:val="461"/>
        </w:trPr>
        <w:tc>
          <w:tcPr>
            <w:cnfStyle w:val="001000000000" w:firstRow="0" w:lastRow="0" w:firstColumn="1" w:lastColumn="0" w:oddVBand="0" w:evenVBand="0" w:oddHBand="0" w:evenHBand="0" w:firstRowFirstColumn="0" w:firstRowLastColumn="0" w:lastRowFirstColumn="0" w:lastRowLastColumn="0"/>
            <w:tcW w:w="3818" w:type="dxa"/>
            <w:shd w:val="clear" w:color="auto" w:fill="DAE9F7" w:themeFill="text2" w:themeFillTint="1A"/>
            <w:vAlign w:val="bottom"/>
            <w:hideMark/>
          </w:tcPr>
          <w:p w14:paraId="65A88C87" w14:textId="77777777" w:rsidR="00796196" w:rsidRPr="00384C2A" w:rsidRDefault="00796196" w:rsidP="004B5555">
            <w:pPr>
              <w:spacing w:line="480" w:lineRule="auto"/>
              <w:jc w:val="right"/>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PI-RADS 5</w:t>
            </w:r>
          </w:p>
        </w:tc>
        <w:tc>
          <w:tcPr>
            <w:tcW w:w="702" w:type="dxa"/>
            <w:shd w:val="clear" w:color="auto" w:fill="DAE9F7" w:themeFill="text2" w:themeFillTint="1A"/>
            <w:vAlign w:val="bottom"/>
            <w:hideMark/>
          </w:tcPr>
          <w:p w14:paraId="0E24045E"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21</w:t>
            </w:r>
          </w:p>
        </w:tc>
        <w:tc>
          <w:tcPr>
            <w:tcW w:w="820" w:type="dxa"/>
            <w:shd w:val="clear" w:color="auto" w:fill="DAE9F7" w:themeFill="text2" w:themeFillTint="1A"/>
            <w:vAlign w:val="bottom"/>
            <w:hideMark/>
          </w:tcPr>
          <w:p w14:paraId="16C83E27"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31</w:t>
            </w:r>
          </w:p>
        </w:tc>
        <w:tc>
          <w:tcPr>
            <w:tcW w:w="800" w:type="dxa"/>
            <w:shd w:val="clear" w:color="auto" w:fill="DAE9F7" w:themeFill="text2" w:themeFillTint="1A"/>
            <w:vAlign w:val="bottom"/>
            <w:hideMark/>
          </w:tcPr>
          <w:p w14:paraId="1B0513E5"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42</w:t>
            </w:r>
          </w:p>
        </w:tc>
        <w:tc>
          <w:tcPr>
            <w:tcW w:w="780" w:type="dxa"/>
            <w:shd w:val="clear" w:color="auto" w:fill="DAE9F7" w:themeFill="text2" w:themeFillTint="1A"/>
            <w:vAlign w:val="bottom"/>
            <w:hideMark/>
          </w:tcPr>
          <w:p w14:paraId="2CD8F4BC"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26</w:t>
            </w:r>
          </w:p>
        </w:tc>
        <w:tc>
          <w:tcPr>
            <w:tcW w:w="820" w:type="dxa"/>
            <w:shd w:val="clear" w:color="auto" w:fill="DAE9F7" w:themeFill="text2" w:themeFillTint="1A"/>
            <w:vAlign w:val="bottom"/>
            <w:hideMark/>
          </w:tcPr>
          <w:p w14:paraId="1A31A126"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3</w:t>
            </w:r>
          </w:p>
        </w:tc>
        <w:tc>
          <w:tcPr>
            <w:tcW w:w="840" w:type="dxa"/>
            <w:shd w:val="clear" w:color="auto" w:fill="DAE9F7" w:themeFill="text2" w:themeFillTint="1A"/>
            <w:vAlign w:val="bottom"/>
            <w:hideMark/>
          </w:tcPr>
          <w:p w14:paraId="7CFFE1E7"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9</w:t>
            </w:r>
          </w:p>
        </w:tc>
        <w:tc>
          <w:tcPr>
            <w:tcW w:w="1600" w:type="dxa"/>
            <w:shd w:val="clear" w:color="auto" w:fill="DAE9F7" w:themeFill="text2" w:themeFillTint="1A"/>
            <w:vAlign w:val="bottom"/>
            <w:hideMark/>
          </w:tcPr>
          <w:p w14:paraId="7F8A5679"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132</w:t>
            </w:r>
          </w:p>
        </w:tc>
      </w:tr>
      <w:tr w:rsidR="00796196" w:rsidRPr="00384C2A" w14:paraId="1B6C1879" w14:textId="77777777" w:rsidTr="004B555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180" w:type="dxa"/>
            <w:gridSpan w:val="8"/>
            <w:shd w:val="clear" w:color="auto" w:fill="F2F2F2" w:themeFill="background1" w:themeFillShade="F2"/>
            <w:vAlign w:val="bottom"/>
          </w:tcPr>
          <w:p w14:paraId="00D235F1" w14:textId="77777777" w:rsidR="00796196" w:rsidRPr="00D51CA3" w:rsidRDefault="00796196" w:rsidP="004B5555">
            <w:pPr>
              <w:spacing w:line="480" w:lineRule="auto"/>
              <w:jc w:val="center"/>
              <w:rPr>
                <w:rFonts w:ascii="Times New Roman" w:eastAsia="Times New Roman" w:hAnsi="Times New Roman" w:cs="Times New Roman"/>
                <w:color w:val="000000"/>
                <w:kern w:val="0"/>
                <w:sz w:val="6"/>
                <w:szCs w:val="6"/>
                <w:lang w:eastAsia="es-CL"/>
                <w14:ligatures w14:val="none"/>
              </w:rPr>
            </w:pPr>
          </w:p>
        </w:tc>
      </w:tr>
      <w:tr w:rsidR="00796196" w:rsidRPr="00384C2A" w14:paraId="40AE095F" w14:textId="77777777" w:rsidTr="004B5555">
        <w:trPr>
          <w:trHeight w:val="600"/>
        </w:trPr>
        <w:tc>
          <w:tcPr>
            <w:cnfStyle w:val="001000000000" w:firstRow="0" w:lastRow="0" w:firstColumn="1" w:lastColumn="0" w:oddVBand="0" w:evenVBand="0" w:oddHBand="0" w:evenHBand="0" w:firstRowFirstColumn="0" w:firstRowLastColumn="0" w:lastRowFirstColumn="0" w:lastRowLastColumn="0"/>
            <w:tcW w:w="3818" w:type="dxa"/>
            <w:shd w:val="clear" w:color="auto" w:fill="A5C9EB" w:themeFill="text2" w:themeFillTint="40"/>
            <w:vAlign w:val="bottom"/>
            <w:hideMark/>
          </w:tcPr>
          <w:p w14:paraId="1CF39D19"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Segunda lesión PI-RADS</w:t>
            </w:r>
          </w:p>
        </w:tc>
        <w:tc>
          <w:tcPr>
            <w:tcW w:w="702" w:type="dxa"/>
            <w:shd w:val="clear" w:color="auto" w:fill="A5C9EB" w:themeFill="text2" w:themeFillTint="40"/>
            <w:vAlign w:val="bottom"/>
            <w:hideMark/>
          </w:tcPr>
          <w:p w14:paraId="48DE7D78"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Neg</w:t>
            </w:r>
          </w:p>
        </w:tc>
        <w:tc>
          <w:tcPr>
            <w:tcW w:w="820" w:type="dxa"/>
            <w:shd w:val="clear" w:color="auto" w:fill="A5C9EB" w:themeFill="text2" w:themeFillTint="40"/>
            <w:vAlign w:val="bottom"/>
            <w:hideMark/>
          </w:tcPr>
          <w:p w14:paraId="1A803B53"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1</w:t>
            </w:r>
          </w:p>
        </w:tc>
        <w:tc>
          <w:tcPr>
            <w:tcW w:w="800" w:type="dxa"/>
            <w:shd w:val="clear" w:color="auto" w:fill="A5C9EB" w:themeFill="text2" w:themeFillTint="40"/>
            <w:vAlign w:val="bottom"/>
            <w:hideMark/>
          </w:tcPr>
          <w:p w14:paraId="4470AF53"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2</w:t>
            </w:r>
          </w:p>
        </w:tc>
        <w:tc>
          <w:tcPr>
            <w:tcW w:w="780" w:type="dxa"/>
            <w:shd w:val="clear" w:color="auto" w:fill="A5C9EB" w:themeFill="text2" w:themeFillTint="40"/>
            <w:vAlign w:val="bottom"/>
            <w:hideMark/>
          </w:tcPr>
          <w:p w14:paraId="3202EAA1"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3</w:t>
            </w:r>
          </w:p>
        </w:tc>
        <w:tc>
          <w:tcPr>
            <w:tcW w:w="820" w:type="dxa"/>
            <w:shd w:val="clear" w:color="auto" w:fill="A5C9EB" w:themeFill="text2" w:themeFillTint="40"/>
            <w:vAlign w:val="bottom"/>
            <w:hideMark/>
          </w:tcPr>
          <w:p w14:paraId="34EFF669"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4</w:t>
            </w:r>
          </w:p>
        </w:tc>
        <w:tc>
          <w:tcPr>
            <w:tcW w:w="840" w:type="dxa"/>
            <w:shd w:val="clear" w:color="auto" w:fill="A5C9EB" w:themeFill="text2" w:themeFillTint="40"/>
            <w:vAlign w:val="bottom"/>
            <w:hideMark/>
          </w:tcPr>
          <w:p w14:paraId="74CCDE67"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ISUP 5</w:t>
            </w:r>
          </w:p>
        </w:tc>
        <w:tc>
          <w:tcPr>
            <w:tcW w:w="1600" w:type="dxa"/>
            <w:shd w:val="clear" w:color="auto" w:fill="A5C9EB" w:themeFill="text2" w:themeFillTint="40"/>
            <w:vAlign w:val="bottom"/>
            <w:hideMark/>
          </w:tcPr>
          <w:p w14:paraId="727D0176"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Total</w:t>
            </w:r>
          </w:p>
        </w:tc>
      </w:tr>
      <w:tr w:rsidR="00796196" w:rsidRPr="00384C2A" w14:paraId="7A8ED15C"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18" w:type="dxa"/>
            <w:shd w:val="clear" w:color="auto" w:fill="DAE9F7" w:themeFill="text2" w:themeFillTint="1A"/>
            <w:vAlign w:val="bottom"/>
            <w:hideMark/>
          </w:tcPr>
          <w:p w14:paraId="6FAA64F0" w14:textId="77777777" w:rsidR="00796196" w:rsidRPr="00384C2A" w:rsidRDefault="00796196" w:rsidP="004B5555">
            <w:pPr>
              <w:spacing w:line="480" w:lineRule="auto"/>
              <w:jc w:val="right"/>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PI-RADS 3</w:t>
            </w:r>
          </w:p>
        </w:tc>
        <w:tc>
          <w:tcPr>
            <w:tcW w:w="702" w:type="dxa"/>
            <w:shd w:val="clear" w:color="auto" w:fill="DAE9F7" w:themeFill="text2" w:themeFillTint="1A"/>
            <w:vAlign w:val="bottom"/>
            <w:hideMark/>
          </w:tcPr>
          <w:p w14:paraId="76EF4CCF"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4</w:t>
            </w:r>
          </w:p>
        </w:tc>
        <w:tc>
          <w:tcPr>
            <w:tcW w:w="820" w:type="dxa"/>
            <w:shd w:val="clear" w:color="auto" w:fill="DAE9F7" w:themeFill="text2" w:themeFillTint="1A"/>
            <w:vAlign w:val="bottom"/>
            <w:hideMark/>
          </w:tcPr>
          <w:p w14:paraId="5562AAB1"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5</w:t>
            </w:r>
          </w:p>
        </w:tc>
        <w:tc>
          <w:tcPr>
            <w:tcW w:w="800" w:type="dxa"/>
            <w:shd w:val="clear" w:color="auto" w:fill="DAE9F7" w:themeFill="text2" w:themeFillTint="1A"/>
            <w:vAlign w:val="bottom"/>
            <w:hideMark/>
          </w:tcPr>
          <w:p w14:paraId="453B2E21"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w:t>
            </w:r>
          </w:p>
        </w:tc>
        <w:tc>
          <w:tcPr>
            <w:tcW w:w="780" w:type="dxa"/>
            <w:shd w:val="clear" w:color="auto" w:fill="DAE9F7" w:themeFill="text2" w:themeFillTint="1A"/>
            <w:vAlign w:val="bottom"/>
            <w:hideMark/>
          </w:tcPr>
          <w:p w14:paraId="0A657C10"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2</w:t>
            </w:r>
          </w:p>
        </w:tc>
        <w:tc>
          <w:tcPr>
            <w:tcW w:w="820" w:type="dxa"/>
            <w:shd w:val="clear" w:color="auto" w:fill="DAE9F7" w:themeFill="text2" w:themeFillTint="1A"/>
            <w:vAlign w:val="bottom"/>
            <w:hideMark/>
          </w:tcPr>
          <w:p w14:paraId="72551DA5"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840" w:type="dxa"/>
            <w:shd w:val="clear" w:color="auto" w:fill="DAE9F7" w:themeFill="text2" w:themeFillTint="1A"/>
            <w:vAlign w:val="bottom"/>
            <w:hideMark/>
          </w:tcPr>
          <w:p w14:paraId="465F26BF"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1600" w:type="dxa"/>
            <w:shd w:val="clear" w:color="auto" w:fill="DAE9F7" w:themeFill="text2" w:themeFillTint="1A"/>
            <w:vAlign w:val="bottom"/>
            <w:hideMark/>
          </w:tcPr>
          <w:p w14:paraId="4B5E4521"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10</w:t>
            </w:r>
          </w:p>
        </w:tc>
      </w:tr>
      <w:tr w:rsidR="00796196" w:rsidRPr="00384C2A" w14:paraId="05CC8061" w14:textId="77777777" w:rsidTr="004B5555">
        <w:trPr>
          <w:trHeight w:val="600"/>
        </w:trPr>
        <w:tc>
          <w:tcPr>
            <w:cnfStyle w:val="001000000000" w:firstRow="0" w:lastRow="0" w:firstColumn="1" w:lastColumn="0" w:oddVBand="0" w:evenVBand="0" w:oddHBand="0" w:evenHBand="0" w:firstRowFirstColumn="0" w:firstRowLastColumn="0" w:lastRowFirstColumn="0" w:lastRowLastColumn="0"/>
            <w:tcW w:w="3818" w:type="dxa"/>
            <w:shd w:val="clear" w:color="auto" w:fill="DAE9F7" w:themeFill="text2" w:themeFillTint="1A"/>
            <w:vAlign w:val="bottom"/>
            <w:hideMark/>
          </w:tcPr>
          <w:p w14:paraId="5402B679" w14:textId="77777777" w:rsidR="00796196" w:rsidRPr="00384C2A" w:rsidRDefault="00796196" w:rsidP="004B5555">
            <w:pPr>
              <w:spacing w:line="480" w:lineRule="auto"/>
              <w:jc w:val="right"/>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PI-RADS 4</w:t>
            </w:r>
          </w:p>
        </w:tc>
        <w:tc>
          <w:tcPr>
            <w:tcW w:w="702" w:type="dxa"/>
            <w:shd w:val="clear" w:color="auto" w:fill="DAE9F7" w:themeFill="text2" w:themeFillTint="1A"/>
            <w:vAlign w:val="bottom"/>
            <w:hideMark/>
          </w:tcPr>
          <w:p w14:paraId="071F2A22"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12</w:t>
            </w:r>
          </w:p>
        </w:tc>
        <w:tc>
          <w:tcPr>
            <w:tcW w:w="820" w:type="dxa"/>
            <w:shd w:val="clear" w:color="auto" w:fill="DAE9F7" w:themeFill="text2" w:themeFillTint="1A"/>
            <w:vAlign w:val="bottom"/>
            <w:hideMark/>
          </w:tcPr>
          <w:p w14:paraId="51A01C96"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9</w:t>
            </w:r>
          </w:p>
        </w:tc>
        <w:tc>
          <w:tcPr>
            <w:tcW w:w="800" w:type="dxa"/>
            <w:shd w:val="clear" w:color="auto" w:fill="DAE9F7" w:themeFill="text2" w:themeFillTint="1A"/>
            <w:vAlign w:val="bottom"/>
            <w:hideMark/>
          </w:tcPr>
          <w:p w14:paraId="06759637"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8</w:t>
            </w:r>
          </w:p>
        </w:tc>
        <w:tc>
          <w:tcPr>
            <w:tcW w:w="780" w:type="dxa"/>
            <w:shd w:val="clear" w:color="auto" w:fill="DAE9F7" w:themeFill="text2" w:themeFillTint="1A"/>
            <w:vAlign w:val="bottom"/>
            <w:hideMark/>
          </w:tcPr>
          <w:p w14:paraId="681068C9"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820" w:type="dxa"/>
            <w:shd w:val="clear" w:color="auto" w:fill="DAE9F7" w:themeFill="text2" w:themeFillTint="1A"/>
            <w:vAlign w:val="bottom"/>
            <w:hideMark/>
          </w:tcPr>
          <w:p w14:paraId="5890D8AF"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840" w:type="dxa"/>
            <w:shd w:val="clear" w:color="auto" w:fill="DAE9F7" w:themeFill="text2" w:themeFillTint="1A"/>
            <w:vAlign w:val="bottom"/>
            <w:hideMark/>
          </w:tcPr>
          <w:p w14:paraId="47D5A078"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1600" w:type="dxa"/>
            <w:shd w:val="clear" w:color="auto" w:fill="DAE9F7" w:themeFill="text2" w:themeFillTint="1A"/>
            <w:vAlign w:val="bottom"/>
            <w:hideMark/>
          </w:tcPr>
          <w:p w14:paraId="6979EED6"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28</w:t>
            </w:r>
          </w:p>
        </w:tc>
      </w:tr>
      <w:tr w:rsidR="00796196" w:rsidRPr="00384C2A" w14:paraId="7CE2B9D2"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818" w:type="dxa"/>
            <w:shd w:val="clear" w:color="auto" w:fill="DAE9F7" w:themeFill="text2" w:themeFillTint="1A"/>
            <w:vAlign w:val="bottom"/>
            <w:hideMark/>
          </w:tcPr>
          <w:p w14:paraId="1165CDA7" w14:textId="77777777" w:rsidR="00796196" w:rsidRPr="00384C2A" w:rsidRDefault="00796196" w:rsidP="004B5555">
            <w:pPr>
              <w:spacing w:line="480" w:lineRule="auto"/>
              <w:jc w:val="right"/>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PI-RADS 5</w:t>
            </w:r>
          </w:p>
        </w:tc>
        <w:tc>
          <w:tcPr>
            <w:tcW w:w="702" w:type="dxa"/>
            <w:shd w:val="clear" w:color="auto" w:fill="DAE9F7" w:themeFill="text2" w:themeFillTint="1A"/>
            <w:vAlign w:val="bottom"/>
            <w:hideMark/>
          </w:tcPr>
          <w:p w14:paraId="098F2CEE"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1</w:t>
            </w:r>
          </w:p>
        </w:tc>
        <w:tc>
          <w:tcPr>
            <w:tcW w:w="820" w:type="dxa"/>
            <w:shd w:val="clear" w:color="auto" w:fill="DAE9F7" w:themeFill="text2" w:themeFillTint="1A"/>
            <w:vAlign w:val="bottom"/>
            <w:hideMark/>
          </w:tcPr>
          <w:p w14:paraId="54BB4ED9"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2</w:t>
            </w:r>
          </w:p>
        </w:tc>
        <w:tc>
          <w:tcPr>
            <w:tcW w:w="800" w:type="dxa"/>
            <w:shd w:val="clear" w:color="auto" w:fill="DAE9F7" w:themeFill="text2" w:themeFillTint="1A"/>
            <w:vAlign w:val="bottom"/>
            <w:hideMark/>
          </w:tcPr>
          <w:p w14:paraId="30CCB100"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780" w:type="dxa"/>
            <w:shd w:val="clear" w:color="auto" w:fill="DAE9F7" w:themeFill="text2" w:themeFillTint="1A"/>
            <w:vAlign w:val="bottom"/>
            <w:hideMark/>
          </w:tcPr>
          <w:p w14:paraId="37AF227E"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820" w:type="dxa"/>
            <w:shd w:val="clear" w:color="auto" w:fill="DAE9F7" w:themeFill="text2" w:themeFillTint="1A"/>
            <w:vAlign w:val="bottom"/>
            <w:hideMark/>
          </w:tcPr>
          <w:p w14:paraId="54CB1F47"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840" w:type="dxa"/>
            <w:shd w:val="clear" w:color="auto" w:fill="DAE9F7" w:themeFill="text2" w:themeFillTint="1A"/>
            <w:vAlign w:val="bottom"/>
            <w:hideMark/>
          </w:tcPr>
          <w:p w14:paraId="0F7BC907"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0</w:t>
            </w:r>
          </w:p>
        </w:tc>
        <w:tc>
          <w:tcPr>
            <w:tcW w:w="1600" w:type="dxa"/>
            <w:shd w:val="clear" w:color="auto" w:fill="DAE9F7" w:themeFill="text2" w:themeFillTint="1A"/>
            <w:vAlign w:val="bottom"/>
            <w:hideMark/>
          </w:tcPr>
          <w:p w14:paraId="1ADBCA0B"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3</w:t>
            </w:r>
          </w:p>
        </w:tc>
      </w:tr>
      <w:tr w:rsidR="00796196" w:rsidRPr="00384C2A" w14:paraId="513D8880" w14:textId="77777777" w:rsidTr="004B5555">
        <w:trPr>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A5C9EB" w:themeFill="text2" w:themeFillTint="40"/>
            <w:vAlign w:val="bottom"/>
            <w:hideMark/>
          </w:tcPr>
          <w:p w14:paraId="20FFA57A"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Pacientes con 2 o más lesiones PI-RADS [n (%)]</w:t>
            </w:r>
          </w:p>
        </w:tc>
        <w:tc>
          <w:tcPr>
            <w:tcW w:w="1600" w:type="dxa"/>
            <w:shd w:val="clear" w:color="auto" w:fill="A5C9EB" w:themeFill="text2" w:themeFillTint="40"/>
            <w:vAlign w:val="bottom"/>
            <w:hideMark/>
          </w:tcPr>
          <w:p w14:paraId="0A7BFA49"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48 (7,3%)</w:t>
            </w:r>
          </w:p>
        </w:tc>
      </w:tr>
      <w:tr w:rsidR="00796196" w:rsidRPr="00384C2A" w14:paraId="545E23AA" w14:textId="77777777" w:rsidTr="004B5555">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A5C9EB" w:themeFill="text2" w:themeFillTint="40"/>
            <w:vAlign w:val="bottom"/>
            <w:hideMark/>
          </w:tcPr>
          <w:p w14:paraId="40AA895E"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Pr>
                <w:rFonts w:ascii="Times New Roman" w:eastAsia="Times New Roman" w:hAnsi="Times New Roman" w:cs="Times New Roman"/>
                <w:color w:val="000000"/>
                <w:kern w:val="0"/>
                <w:sz w:val="24"/>
                <w:szCs w:val="24"/>
                <w:lang w:eastAsia="es-CL"/>
                <w14:ligatures w14:val="none"/>
              </w:rPr>
              <w:t xml:space="preserve">Pacientes con </w:t>
            </w:r>
            <w:r w:rsidRPr="00384C2A">
              <w:rPr>
                <w:rFonts w:ascii="Times New Roman" w:eastAsia="Times New Roman" w:hAnsi="Times New Roman" w:cs="Times New Roman"/>
                <w:color w:val="000000"/>
                <w:kern w:val="0"/>
                <w:sz w:val="24"/>
                <w:szCs w:val="24"/>
                <w:lang w:eastAsia="es-CL"/>
                <w14:ligatures w14:val="none"/>
              </w:rPr>
              <w:t xml:space="preserve">lesión PI-RADS </w:t>
            </w:r>
            <w:r>
              <w:rPr>
                <w:rFonts w:ascii="Times New Roman" w:eastAsia="Times New Roman" w:hAnsi="Times New Roman" w:cs="Times New Roman"/>
                <w:color w:val="000000"/>
                <w:kern w:val="0"/>
                <w:sz w:val="24"/>
                <w:szCs w:val="24"/>
                <w:lang w:eastAsia="es-CL"/>
                <w14:ligatures w14:val="none"/>
              </w:rPr>
              <w:t>no dominante con p</w:t>
            </w:r>
            <w:r w:rsidRPr="00384C2A">
              <w:rPr>
                <w:rFonts w:ascii="Times New Roman" w:eastAsia="Times New Roman" w:hAnsi="Times New Roman" w:cs="Times New Roman"/>
                <w:color w:val="000000"/>
                <w:kern w:val="0"/>
                <w:sz w:val="24"/>
                <w:szCs w:val="24"/>
                <w:lang w:eastAsia="es-CL"/>
                <w14:ligatures w14:val="none"/>
              </w:rPr>
              <w:t xml:space="preserve">eor </w:t>
            </w:r>
            <w:r>
              <w:rPr>
                <w:rFonts w:ascii="Times New Roman" w:eastAsia="Times New Roman" w:hAnsi="Times New Roman" w:cs="Times New Roman"/>
                <w:color w:val="000000"/>
                <w:kern w:val="0"/>
                <w:sz w:val="24"/>
                <w:szCs w:val="24"/>
                <w:lang w:eastAsia="es-CL"/>
                <w14:ligatures w14:val="none"/>
              </w:rPr>
              <w:t xml:space="preserve">histología </w:t>
            </w:r>
            <w:r w:rsidRPr="00384C2A">
              <w:rPr>
                <w:rFonts w:ascii="Times New Roman" w:eastAsia="Times New Roman" w:hAnsi="Times New Roman" w:cs="Times New Roman"/>
                <w:color w:val="000000"/>
                <w:kern w:val="0"/>
                <w:sz w:val="24"/>
                <w:szCs w:val="24"/>
                <w:lang w:eastAsia="es-CL"/>
                <w14:ligatures w14:val="none"/>
              </w:rPr>
              <w:t>que la lesión índice con CaPcs (n)</w:t>
            </w:r>
          </w:p>
        </w:tc>
        <w:tc>
          <w:tcPr>
            <w:tcW w:w="1600" w:type="dxa"/>
            <w:shd w:val="clear" w:color="auto" w:fill="A5C9EB" w:themeFill="text2" w:themeFillTint="40"/>
            <w:vAlign w:val="bottom"/>
            <w:hideMark/>
          </w:tcPr>
          <w:p w14:paraId="6964A015" w14:textId="77777777" w:rsidR="00796196" w:rsidRPr="00384C2A" w:rsidRDefault="00796196" w:rsidP="004B5555">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5</w:t>
            </w:r>
          </w:p>
        </w:tc>
      </w:tr>
      <w:tr w:rsidR="00796196" w:rsidRPr="00384C2A" w14:paraId="4D33244C" w14:textId="77777777" w:rsidTr="004B5555">
        <w:trPr>
          <w:trHeight w:val="600"/>
        </w:trPr>
        <w:tc>
          <w:tcPr>
            <w:cnfStyle w:val="001000000000" w:firstRow="0" w:lastRow="0" w:firstColumn="1" w:lastColumn="0" w:oddVBand="0" w:evenVBand="0" w:oddHBand="0" w:evenHBand="0" w:firstRowFirstColumn="0" w:firstRowLastColumn="0" w:lastRowFirstColumn="0" w:lastRowLastColumn="0"/>
            <w:tcW w:w="8580" w:type="dxa"/>
            <w:gridSpan w:val="7"/>
            <w:shd w:val="clear" w:color="auto" w:fill="A5C9EB" w:themeFill="text2" w:themeFillTint="40"/>
            <w:vAlign w:val="bottom"/>
            <w:hideMark/>
          </w:tcPr>
          <w:p w14:paraId="3A8B0906" w14:textId="77777777" w:rsidR="00796196" w:rsidRPr="00384C2A" w:rsidRDefault="00796196" w:rsidP="004B5555">
            <w:pPr>
              <w:spacing w:line="480" w:lineRule="auto"/>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 xml:space="preserve">Segunda lesión PI-RADS </w:t>
            </w:r>
            <w:r>
              <w:rPr>
                <w:rFonts w:ascii="Times New Roman" w:eastAsia="Times New Roman" w:hAnsi="Times New Roman" w:cs="Times New Roman"/>
                <w:color w:val="000000"/>
                <w:kern w:val="0"/>
                <w:sz w:val="24"/>
                <w:szCs w:val="24"/>
                <w:lang w:eastAsia="es-CL"/>
                <w14:ligatures w14:val="none"/>
              </w:rPr>
              <w:t xml:space="preserve">con </w:t>
            </w:r>
            <w:r w:rsidRPr="00384C2A">
              <w:rPr>
                <w:rFonts w:ascii="Times New Roman" w:eastAsia="Times New Roman" w:hAnsi="Times New Roman" w:cs="Times New Roman"/>
                <w:color w:val="000000"/>
                <w:kern w:val="0"/>
                <w:sz w:val="24"/>
                <w:szCs w:val="24"/>
                <w:lang w:eastAsia="es-CL"/>
                <w14:ligatures w14:val="none"/>
              </w:rPr>
              <w:t xml:space="preserve">ISUP1 </w:t>
            </w:r>
            <w:r>
              <w:rPr>
                <w:rFonts w:ascii="Times New Roman" w:eastAsia="Times New Roman" w:hAnsi="Times New Roman" w:cs="Times New Roman"/>
                <w:color w:val="000000"/>
                <w:kern w:val="0"/>
                <w:sz w:val="24"/>
                <w:szCs w:val="24"/>
                <w:lang w:eastAsia="es-CL"/>
                <w14:ligatures w14:val="none"/>
              </w:rPr>
              <w:t>y</w:t>
            </w:r>
            <w:r w:rsidRPr="00384C2A">
              <w:rPr>
                <w:rFonts w:ascii="Times New Roman" w:eastAsia="Times New Roman" w:hAnsi="Times New Roman" w:cs="Times New Roman"/>
                <w:color w:val="000000"/>
                <w:kern w:val="0"/>
                <w:sz w:val="24"/>
                <w:szCs w:val="24"/>
                <w:lang w:eastAsia="es-CL"/>
                <w14:ligatures w14:val="none"/>
              </w:rPr>
              <w:t xml:space="preserve"> lesión índice benigna (n)</w:t>
            </w:r>
          </w:p>
        </w:tc>
        <w:tc>
          <w:tcPr>
            <w:tcW w:w="1600" w:type="dxa"/>
            <w:shd w:val="clear" w:color="auto" w:fill="A5C9EB" w:themeFill="text2" w:themeFillTint="40"/>
            <w:vAlign w:val="bottom"/>
            <w:hideMark/>
          </w:tcPr>
          <w:p w14:paraId="02E603F9" w14:textId="77777777" w:rsidR="00796196" w:rsidRPr="00384C2A" w:rsidRDefault="00796196" w:rsidP="004B5555">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es-CL"/>
                <w14:ligatures w14:val="none"/>
              </w:rPr>
            </w:pPr>
            <w:r w:rsidRPr="00384C2A">
              <w:rPr>
                <w:rFonts w:ascii="Times New Roman" w:eastAsia="Times New Roman" w:hAnsi="Times New Roman" w:cs="Times New Roman"/>
                <w:color w:val="000000"/>
                <w:kern w:val="0"/>
                <w:sz w:val="24"/>
                <w:szCs w:val="24"/>
                <w:lang w:eastAsia="es-CL"/>
                <w14:ligatures w14:val="none"/>
              </w:rPr>
              <w:t>3</w:t>
            </w:r>
          </w:p>
        </w:tc>
      </w:tr>
    </w:tbl>
    <w:p w14:paraId="3E046455" w14:textId="77777777" w:rsidR="00796196" w:rsidRPr="00FA0E73" w:rsidRDefault="00796196" w:rsidP="00796196">
      <w:pPr>
        <w:rPr>
          <w:rFonts w:ascii="Times New Roman" w:hAnsi="Times New Roman" w:cs="Times New Roman"/>
          <w:b/>
          <w:sz w:val="24"/>
          <w:szCs w:val="24"/>
        </w:rPr>
      </w:pPr>
    </w:p>
    <w:p w14:paraId="4989F0DD" w14:textId="3F0D256A" w:rsidR="00796196" w:rsidRPr="00FA0E73" w:rsidRDefault="00796196" w:rsidP="00796196">
      <w:pPr>
        <w:spacing w:line="480" w:lineRule="auto"/>
        <w:rPr>
          <w:rFonts w:ascii="Times New Roman" w:hAnsi="Times New Roman" w:cs="Times New Roman"/>
          <w:sz w:val="24"/>
          <w:szCs w:val="24"/>
        </w:rPr>
      </w:pPr>
      <w:r w:rsidRPr="00FA0E73">
        <w:rPr>
          <w:rFonts w:ascii="Times New Roman" w:hAnsi="Times New Roman" w:cs="Times New Roman"/>
          <w:b/>
          <w:sz w:val="24"/>
          <w:szCs w:val="24"/>
        </w:rPr>
        <w:lastRenderedPageBreak/>
        <w:t>Tabla 3. Distribución de los 5</w:t>
      </w:r>
      <w:r w:rsidR="00C11123">
        <w:rPr>
          <w:rFonts w:ascii="Times New Roman" w:hAnsi="Times New Roman" w:cs="Times New Roman"/>
          <w:b/>
          <w:sz w:val="24"/>
          <w:szCs w:val="24"/>
        </w:rPr>
        <w:t>8</w:t>
      </w:r>
      <w:r w:rsidRPr="00FA0E73">
        <w:rPr>
          <w:rFonts w:ascii="Times New Roman" w:hAnsi="Times New Roman" w:cs="Times New Roman"/>
          <w:b/>
          <w:sz w:val="24"/>
          <w:szCs w:val="24"/>
        </w:rPr>
        <w:t xml:space="preserve"> pacientes con CaPcs en la biopsia sistemática, con la biopsia a objetivo negativa o ISUP 1.</w:t>
      </w:r>
    </w:p>
    <w:tbl>
      <w:tblPr>
        <w:tblStyle w:val="Tablaconcuadrcula"/>
        <w:tblW w:w="0" w:type="auto"/>
        <w:tblLook w:val="04A0" w:firstRow="1" w:lastRow="0" w:firstColumn="1" w:lastColumn="0" w:noHBand="0" w:noVBand="1"/>
      </w:tblPr>
      <w:tblGrid>
        <w:gridCol w:w="1951"/>
        <w:gridCol w:w="1418"/>
        <w:gridCol w:w="1275"/>
        <w:gridCol w:w="1276"/>
        <w:gridCol w:w="1424"/>
        <w:gridCol w:w="1469"/>
      </w:tblGrid>
      <w:tr w:rsidR="00796196" w:rsidRPr="00FA0E73" w14:paraId="295841D3" w14:textId="77777777" w:rsidTr="004B5555">
        <w:trPr>
          <w:trHeight w:val="710"/>
        </w:trPr>
        <w:tc>
          <w:tcPr>
            <w:tcW w:w="1951" w:type="dxa"/>
            <w:shd w:val="clear" w:color="auto" w:fill="A5C9EB" w:themeFill="text2" w:themeFillTint="40"/>
          </w:tcPr>
          <w:p w14:paraId="4BEA1BE9" w14:textId="77777777" w:rsidR="00796196" w:rsidRPr="00FA080A" w:rsidRDefault="00796196" w:rsidP="004B5555">
            <w:pPr>
              <w:spacing w:line="480" w:lineRule="auto"/>
              <w:jc w:val="center"/>
              <w:rPr>
                <w:rFonts w:ascii="Times New Roman" w:hAnsi="Times New Roman" w:cs="Times New Roman"/>
                <w:sz w:val="24"/>
                <w:szCs w:val="24"/>
                <w:lang w:val="es-CL"/>
              </w:rPr>
            </w:pPr>
          </w:p>
        </w:tc>
        <w:tc>
          <w:tcPr>
            <w:tcW w:w="6862" w:type="dxa"/>
            <w:gridSpan w:val="5"/>
            <w:shd w:val="clear" w:color="auto" w:fill="DAE9F7" w:themeFill="text2" w:themeFillTint="1A"/>
          </w:tcPr>
          <w:p w14:paraId="6F3D9A60" w14:textId="77777777" w:rsidR="00796196" w:rsidRPr="00FA0E73" w:rsidRDefault="00796196" w:rsidP="004B5555">
            <w:pPr>
              <w:spacing w:line="480" w:lineRule="auto"/>
              <w:jc w:val="center"/>
              <w:rPr>
                <w:rFonts w:ascii="Times New Roman" w:hAnsi="Times New Roman" w:cs="Times New Roman"/>
                <w:sz w:val="24"/>
                <w:szCs w:val="24"/>
              </w:rPr>
            </w:pPr>
            <w:r>
              <w:rPr>
                <w:rFonts w:ascii="Times New Roman" w:hAnsi="Times New Roman" w:cs="Times New Roman"/>
                <w:sz w:val="24"/>
                <w:szCs w:val="24"/>
              </w:rPr>
              <w:t>Resultado de biopsia sistemática</w:t>
            </w:r>
          </w:p>
        </w:tc>
      </w:tr>
      <w:tr w:rsidR="00796196" w:rsidRPr="00FA0E73" w14:paraId="59DD3B1E" w14:textId="77777777" w:rsidTr="004B5555">
        <w:trPr>
          <w:trHeight w:val="710"/>
        </w:trPr>
        <w:tc>
          <w:tcPr>
            <w:tcW w:w="1951" w:type="dxa"/>
            <w:shd w:val="clear" w:color="auto" w:fill="A5C9EB" w:themeFill="text2" w:themeFillTint="40"/>
          </w:tcPr>
          <w:p w14:paraId="39E1F353" w14:textId="77777777" w:rsidR="00796196" w:rsidRPr="00FA0E73" w:rsidRDefault="00796196" w:rsidP="004B5555">
            <w:pPr>
              <w:spacing w:line="480" w:lineRule="auto"/>
              <w:jc w:val="center"/>
              <w:rPr>
                <w:rFonts w:ascii="Times New Roman" w:hAnsi="Times New Roman" w:cs="Times New Roman"/>
                <w:sz w:val="24"/>
                <w:szCs w:val="24"/>
                <w:lang w:val="es-CL"/>
              </w:rPr>
            </w:pPr>
            <w:r w:rsidRPr="00FA0E73">
              <w:rPr>
                <w:rFonts w:ascii="Times New Roman" w:hAnsi="Times New Roman" w:cs="Times New Roman"/>
                <w:sz w:val="24"/>
                <w:szCs w:val="24"/>
                <w:lang w:val="es-CL"/>
              </w:rPr>
              <w:t>Resultado en biopsia a objetivo</w:t>
            </w:r>
          </w:p>
        </w:tc>
        <w:tc>
          <w:tcPr>
            <w:tcW w:w="1418" w:type="dxa"/>
            <w:shd w:val="clear" w:color="auto" w:fill="DAE9F7" w:themeFill="text2" w:themeFillTint="1A"/>
          </w:tcPr>
          <w:p w14:paraId="2C408F6B"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ISUP 2</w:t>
            </w:r>
          </w:p>
        </w:tc>
        <w:tc>
          <w:tcPr>
            <w:tcW w:w="1275" w:type="dxa"/>
            <w:shd w:val="clear" w:color="auto" w:fill="DAE9F7" w:themeFill="text2" w:themeFillTint="1A"/>
          </w:tcPr>
          <w:p w14:paraId="43CAD4A9"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ISUP 3</w:t>
            </w:r>
          </w:p>
        </w:tc>
        <w:tc>
          <w:tcPr>
            <w:tcW w:w="1276" w:type="dxa"/>
            <w:shd w:val="clear" w:color="auto" w:fill="DAE9F7" w:themeFill="text2" w:themeFillTint="1A"/>
          </w:tcPr>
          <w:p w14:paraId="574D3A99"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ISUP 4</w:t>
            </w:r>
          </w:p>
        </w:tc>
        <w:tc>
          <w:tcPr>
            <w:tcW w:w="1424" w:type="dxa"/>
            <w:shd w:val="clear" w:color="auto" w:fill="DAE9F7" w:themeFill="text2" w:themeFillTint="1A"/>
          </w:tcPr>
          <w:p w14:paraId="48CDEC4E"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ISUP 5</w:t>
            </w:r>
          </w:p>
        </w:tc>
        <w:tc>
          <w:tcPr>
            <w:tcW w:w="1469" w:type="dxa"/>
            <w:shd w:val="clear" w:color="auto" w:fill="DAE9F7" w:themeFill="text2" w:themeFillTint="1A"/>
          </w:tcPr>
          <w:p w14:paraId="1EEF3552" w14:textId="77777777"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Total</w:t>
            </w:r>
          </w:p>
        </w:tc>
      </w:tr>
      <w:tr w:rsidR="00796196" w:rsidRPr="00FA0E73" w14:paraId="3B53869F" w14:textId="77777777" w:rsidTr="004B5555">
        <w:trPr>
          <w:trHeight w:val="328"/>
        </w:trPr>
        <w:tc>
          <w:tcPr>
            <w:tcW w:w="1951" w:type="dxa"/>
            <w:shd w:val="clear" w:color="auto" w:fill="A5C9EB" w:themeFill="text2" w:themeFillTint="40"/>
          </w:tcPr>
          <w:p w14:paraId="1731CDCF"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Benigna</w:t>
            </w:r>
          </w:p>
        </w:tc>
        <w:tc>
          <w:tcPr>
            <w:tcW w:w="1418" w:type="dxa"/>
            <w:shd w:val="clear" w:color="auto" w:fill="DAE9F7" w:themeFill="text2" w:themeFillTint="1A"/>
          </w:tcPr>
          <w:p w14:paraId="6CB144DB"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16 (72,7%)</w:t>
            </w:r>
          </w:p>
        </w:tc>
        <w:tc>
          <w:tcPr>
            <w:tcW w:w="1275" w:type="dxa"/>
            <w:shd w:val="clear" w:color="auto" w:fill="DAE9F7" w:themeFill="text2" w:themeFillTint="1A"/>
          </w:tcPr>
          <w:p w14:paraId="67AB6A69"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4 (18,2%)</w:t>
            </w:r>
          </w:p>
        </w:tc>
        <w:tc>
          <w:tcPr>
            <w:tcW w:w="1276" w:type="dxa"/>
            <w:shd w:val="clear" w:color="auto" w:fill="DAE9F7" w:themeFill="text2" w:themeFillTint="1A"/>
          </w:tcPr>
          <w:p w14:paraId="361E2ADE"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1 (4,5%)</w:t>
            </w:r>
          </w:p>
        </w:tc>
        <w:tc>
          <w:tcPr>
            <w:tcW w:w="1424" w:type="dxa"/>
            <w:shd w:val="clear" w:color="auto" w:fill="DAE9F7" w:themeFill="text2" w:themeFillTint="1A"/>
          </w:tcPr>
          <w:p w14:paraId="3E5F4FA1"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1 (4,5%)</w:t>
            </w:r>
          </w:p>
        </w:tc>
        <w:tc>
          <w:tcPr>
            <w:tcW w:w="1469" w:type="dxa"/>
            <w:shd w:val="clear" w:color="auto" w:fill="DAE9F7" w:themeFill="text2" w:themeFillTint="1A"/>
          </w:tcPr>
          <w:p w14:paraId="697EAA2E" w14:textId="77777777"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22 (100,0%)</w:t>
            </w:r>
          </w:p>
        </w:tc>
      </w:tr>
      <w:tr w:rsidR="00796196" w:rsidRPr="00FA0E73" w14:paraId="17EAF2BF" w14:textId="77777777" w:rsidTr="004B5555">
        <w:trPr>
          <w:trHeight w:val="328"/>
        </w:trPr>
        <w:tc>
          <w:tcPr>
            <w:tcW w:w="1951" w:type="dxa"/>
            <w:shd w:val="clear" w:color="auto" w:fill="A5C9EB" w:themeFill="text2" w:themeFillTint="40"/>
          </w:tcPr>
          <w:p w14:paraId="0E60486C"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ISUP 1</w:t>
            </w:r>
          </w:p>
        </w:tc>
        <w:tc>
          <w:tcPr>
            <w:tcW w:w="1418" w:type="dxa"/>
            <w:shd w:val="clear" w:color="auto" w:fill="DAE9F7" w:themeFill="text2" w:themeFillTint="1A"/>
          </w:tcPr>
          <w:p w14:paraId="1EC715BA" w14:textId="556C26BB"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3</w:t>
            </w:r>
            <w:r w:rsidR="00B21920">
              <w:rPr>
                <w:rFonts w:ascii="Times New Roman" w:hAnsi="Times New Roman" w:cs="Times New Roman"/>
                <w:sz w:val="24"/>
                <w:szCs w:val="24"/>
              </w:rPr>
              <w:t>4</w:t>
            </w:r>
            <w:r w:rsidRPr="00FA0E73">
              <w:rPr>
                <w:rFonts w:ascii="Times New Roman" w:hAnsi="Times New Roman" w:cs="Times New Roman"/>
                <w:sz w:val="24"/>
                <w:szCs w:val="24"/>
              </w:rPr>
              <w:t xml:space="preserve"> (9</w:t>
            </w:r>
            <w:r w:rsidR="00B21920">
              <w:rPr>
                <w:rFonts w:ascii="Times New Roman" w:hAnsi="Times New Roman" w:cs="Times New Roman"/>
                <w:sz w:val="24"/>
                <w:szCs w:val="24"/>
              </w:rPr>
              <w:t>4,4</w:t>
            </w:r>
            <w:r w:rsidRPr="00FA0E73">
              <w:rPr>
                <w:rFonts w:ascii="Times New Roman" w:hAnsi="Times New Roman" w:cs="Times New Roman"/>
                <w:sz w:val="24"/>
                <w:szCs w:val="24"/>
              </w:rPr>
              <w:t>%)</w:t>
            </w:r>
          </w:p>
        </w:tc>
        <w:tc>
          <w:tcPr>
            <w:tcW w:w="1275" w:type="dxa"/>
            <w:shd w:val="clear" w:color="auto" w:fill="DAE9F7" w:themeFill="text2" w:themeFillTint="1A"/>
          </w:tcPr>
          <w:p w14:paraId="569946C7" w14:textId="54D78E76"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1 (</w:t>
            </w:r>
            <w:r w:rsidR="00C6733B">
              <w:rPr>
                <w:rFonts w:ascii="Times New Roman" w:hAnsi="Times New Roman" w:cs="Times New Roman"/>
                <w:sz w:val="24"/>
                <w:szCs w:val="24"/>
              </w:rPr>
              <w:t>2,7</w:t>
            </w:r>
            <w:r w:rsidRPr="00FA0E73">
              <w:rPr>
                <w:rFonts w:ascii="Times New Roman" w:hAnsi="Times New Roman" w:cs="Times New Roman"/>
                <w:sz w:val="24"/>
                <w:szCs w:val="24"/>
              </w:rPr>
              <w:t>%)</w:t>
            </w:r>
          </w:p>
        </w:tc>
        <w:tc>
          <w:tcPr>
            <w:tcW w:w="1276" w:type="dxa"/>
            <w:shd w:val="clear" w:color="auto" w:fill="DAE9F7" w:themeFill="text2" w:themeFillTint="1A"/>
          </w:tcPr>
          <w:p w14:paraId="513D21B3" w14:textId="14168A83"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1 (</w:t>
            </w:r>
            <w:r w:rsidR="00C6733B">
              <w:rPr>
                <w:rFonts w:ascii="Times New Roman" w:hAnsi="Times New Roman" w:cs="Times New Roman"/>
                <w:sz w:val="24"/>
                <w:szCs w:val="24"/>
              </w:rPr>
              <w:t>2,7</w:t>
            </w:r>
            <w:r w:rsidRPr="00FA0E73">
              <w:rPr>
                <w:rFonts w:ascii="Times New Roman" w:hAnsi="Times New Roman" w:cs="Times New Roman"/>
                <w:sz w:val="24"/>
                <w:szCs w:val="24"/>
              </w:rPr>
              <w:t>%)</w:t>
            </w:r>
          </w:p>
        </w:tc>
        <w:tc>
          <w:tcPr>
            <w:tcW w:w="1424" w:type="dxa"/>
            <w:shd w:val="clear" w:color="auto" w:fill="DAE9F7" w:themeFill="text2" w:themeFillTint="1A"/>
          </w:tcPr>
          <w:p w14:paraId="3142AEF6" w14:textId="77777777" w:rsidR="00796196" w:rsidRPr="00FA0E73" w:rsidRDefault="00796196" w:rsidP="004B5555">
            <w:pPr>
              <w:spacing w:line="480" w:lineRule="auto"/>
              <w:jc w:val="center"/>
              <w:rPr>
                <w:rFonts w:ascii="Times New Roman" w:hAnsi="Times New Roman" w:cs="Times New Roman"/>
                <w:sz w:val="24"/>
                <w:szCs w:val="24"/>
              </w:rPr>
            </w:pPr>
            <w:r w:rsidRPr="00FA0E73">
              <w:rPr>
                <w:rFonts w:ascii="Times New Roman" w:hAnsi="Times New Roman" w:cs="Times New Roman"/>
                <w:sz w:val="24"/>
                <w:szCs w:val="24"/>
              </w:rPr>
              <w:t>0 (0,0%)</w:t>
            </w:r>
          </w:p>
        </w:tc>
        <w:tc>
          <w:tcPr>
            <w:tcW w:w="1469" w:type="dxa"/>
            <w:shd w:val="clear" w:color="auto" w:fill="DAE9F7" w:themeFill="text2" w:themeFillTint="1A"/>
          </w:tcPr>
          <w:p w14:paraId="663EF286" w14:textId="31A90A3C"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3</w:t>
            </w:r>
            <w:r w:rsidR="00C6733B" w:rsidRPr="00C6733B">
              <w:rPr>
                <w:rFonts w:ascii="Times New Roman" w:hAnsi="Times New Roman" w:cs="Times New Roman"/>
                <w:b/>
                <w:bCs/>
                <w:sz w:val="24"/>
                <w:szCs w:val="24"/>
              </w:rPr>
              <w:t>6</w:t>
            </w:r>
            <w:r w:rsidRPr="00C6733B">
              <w:rPr>
                <w:rFonts w:ascii="Times New Roman" w:hAnsi="Times New Roman" w:cs="Times New Roman"/>
                <w:b/>
                <w:bCs/>
                <w:sz w:val="24"/>
                <w:szCs w:val="24"/>
              </w:rPr>
              <w:t xml:space="preserve"> (100,0%)</w:t>
            </w:r>
          </w:p>
        </w:tc>
      </w:tr>
      <w:tr w:rsidR="00796196" w:rsidRPr="00FA0E73" w14:paraId="663CB029" w14:textId="77777777" w:rsidTr="004B5555">
        <w:trPr>
          <w:trHeight w:val="311"/>
        </w:trPr>
        <w:tc>
          <w:tcPr>
            <w:tcW w:w="1951" w:type="dxa"/>
            <w:shd w:val="clear" w:color="auto" w:fill="A5C9EB" w:themeFill="text2" w:themeFillTint="40"/>
          </w:tcPr>
          <w:p w14:paraId="2B6F4ABA" w14:textId="77777777"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Total</w:t>
            </w:r>
          </w:p>
        </w:tc>
        <w:tc>
          <w:tcPr>
            <w:tcW w:w="1418" w:type="dxa"/>
            <w:shd w:val="clear" w:color="auto" w:fill="DAE9F7" w:themeFill="text2" w:themeFillTint="1A"/>
          </w:tcPr>
          <w:p w14:paraId="67928408" w14:textId="5773F9EF"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47 (8</w:t>
            </w:r>
            <w:r w:rsidR="00B21920" w:rsidRPr="00C6733B">
              <w:rPr>
                <w:rFonts w:ascii="Times New Roman" w:hAnsi="Times New Roman" w:cs="Times New Roman"/>
                <w:b/>
                <w:bCs/>
                <w:sz w:val="24"/>
                <w:szCs w:val="24"/>
              </w:rPr>
              <w:t>6,2</w:t>
            </w:r>
            <w:r w:rsidRPr="00C6733B">
              <w:rPr>
                <w:rFonts w:ascii="Times New Roman" w:hAnsi="Times New Roman" w:cs="Times New Roman"/>
                <w:b/>
                <w:bCs/>
                <w:sz w:val="24"/>
                <w:szCs w:val="24"/>
              </w:rPr>
              <w:t>%)</w:t>
            </w:r>
          </w:p>
        </w:tc>
        <w:tc>
          <w:tcPr>
            <w:tcW w:w="1275" w:type="dxa"/>
            <w:shd w:val="clear" w:color="auto" w:fill="DAE9F7" w:themeFill="text2" w:themeFillTint="1A"/>
          </w:tcPr>
          <w:p w14:paraId="7AE0052A" w14:textId="02A1858E"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5 (</w:t>
            </w:r>
            <w:r w:rsidR="00B21920" w:rsidRPr="00C6733B">
              <w:rPr>
                <w:rFonts w:ascii="Times New Roman" w:hAnsi="Times New Roman" w:cs="Times New Roman"/>
                <w:b/>
                <w:bCs/>
                <w:sz w:val="24"/>
                <w:szCs w:val="24"/>
              </w:rPr>
              <w:t>8</w:t>
            </w:r>
            <w:r w:rsidRPr="00C6733B">
              <w:rPr>
                <w:rFonts w:ascii="Times New Roman" w:hAnsi="Times New Roman" w:cs="Times New Roman"/>
                <w:b/>
                <w:bCs/>
                <w:sz w:val="24"/>
                <w:szCs w:val="24"/>
              </w:rPr>
              <w:t>,</w:t>
            </w:r>
            <w:r w:rsidR="00B21920" w:rsidRPr="00C6733B">
              <w:rPr>
                <w:rFonts w:ascii="Times New Roman" w:hAnsi="Times New Roman" w:cs="Times New Roman"/>
                <w:b/>
                <w:bCs/>
                <w:sz w:val="24"/>
                <w:szCs w:val="24"/>
              </w:rPr>
              <w:t>6</w:t>
            </w:r>
            <w:r w:rsidRPr="00C6733B">
              <w:rPr>
                <w:rFonts w:ascii="Times New Roman" w:hAnsi="Times New Roman" w:cs="Times New Roman"/>
                <w:b/>
                <w:bCs/>
                <w:sz w:val="24"/>
                <w:szCs w:val="24"/>
              </w:rPr>
              <w:t>%)</w:t>
            </w:r>
          </w:p>
        </w:tc>
        <w:tc>
          <w:tcPr>
            <w:tcW w:w="1276" w:type="dxa"/>
            <w:shd w:val="clear" w:color="auto" w:fill="DAE9F7" w:themeFill="text2" w:themeFillTint="1A"/>
          </w:tcPr>
          <w:p w14:paraId="7F33096D" w14:textId="3BDC5371"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2 (3</w:t>
            </w:r>
            <w:r w:rsidR="00B21920" w:rsidRPr="00C6733B">
              <w:rPr>
                <w:rFonts w:ascii="Times New Roman" w:hAnsi="Times New Roman" w:cs="Times New Roman"/>
                <w:b/>
                <w:bCs/>
                <w:sz w:val="24"/>
                <w:szCs w:val="24"/>
              </w:rPr>
              <w:t>,44</w:t>
            </w:r>
            <w:r w:rsidRPr="00C6733B">
              <w:rPr>
                <w:rFonts w:ascii="Times New Roman" w:hAnsi="Times New Roman" w:cs="Times New Roman"/>
                <w:b/>
                <w:bCs/>
                <w:sz w:val="24"/>
                <w:szCs w:val="24"/>
              </w:rPr>
              <w:t>%)</w:t>
            </w:r>
          </w:p>
        </w:tc>
        <w:tc>
          <w:tcPr>
            <w:tcW w:w="1424" w:type="dxa"/>
            <w:shd w:val="clear" w:color="auto" w:fill="DAE9F7" w:themeFill="text2" w:themeFillTint="1A"/>
          </w:tcPr>
          <w:p w14:paraId="63FD8D76" w14:textId="76765530"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1 (1,</w:t>
            </w:r>
            <w:r w:rsidR="00B21920" w:rsidRPr="00C6733B">
              <w:rPr>
                <w:rFonts w:ascii="Times New Roman" w:hAnsi="Times New Roman" w:cs="Times New Roman"/>
                <w:b/>
                <w:bCs/>
                <w:sz w:val="24"/>
                <w:szCs w:val="24"/>
              </w:rPr>
              <w:t>7</w:t>
            </w:r>
            <w:r w:rsidRPr="00C6733B">
              <w:rPr>
                <w:rFonts w:ascii="Times New Roman" w:hAnsi="Times New Roman" w:cs="Times New Roman"/>
                <w:b/>
                <w:bCs/>
                <w:sz w:val="24"/>
                <w:szCs w:val="24"/>
              </w:rPr>
              <w:t>%)</w:t>
            </w:r>
          </w:p>
        </w:tc>
        <w:tc>
          <w:tcPr>
            <w:tcW w:w="1469" w:type="dxa"/>
            <w:shd w:val="clear" w:color="auto" w:fill="DAE9F7" w:themeFill="text2" w:themeFillTint="1A"/>
          </w:tcPr>
          <w:p w14:paraId="1128D33E" w14:textId="77777777" w:rsidR="00796196" w:rsidRPr="00C6733B" w:rsidRDefault="00796196" w:rsidP="004B5555">
            <w:pPr>
              <w:spacing w:line="480" w:lineRule="auto"/>
              <w:jc w:val="center"/>
              <w:rPr>
                <w:rFonts w:ascii="Times New Roman" w:hAnsi="Times New Roman" w:cs="Times New Roman"/>
                <w:b/>
                <w:bCs/>
                <w:sz w:val="24"/>
                <w:szCs w:val="24"/>
              </w:rPr>
            </w:pPr>
            <w:r w:rsidRPr="00C6733B">
              <w:rPr>
                <w:rFonts w:ascii="Times New Roman" w:hAnsi="Times New Roman" w:cs="Times New Roman"/>
                <w:b/>
                <w:bCs/>
                <w:sz w:val="24"/>
                <w:szCs w:val="24"/>
              </w:rPr>
              <w:t>55 (100,0%)</w:t>
            </w:r>
          </w:p>
        </w:tc>
      </w:tr>
    </w:tbl>
    <w:p w14:paraId="413F0F67" w14:textId="77777777" w:rsidR="00796196" w:rsidRPr="00FA0E73" w:rsidRDefault="00796196" w:rsidP="00796196">
      <w:pPr>
        <w:rPr>
          <w:rFonts w:ascii="Times New Roman" w:hAnsi="Times New Roman" w:cs="Times New Roman"/>
          <w:sz w:val="24"/>
          <w:szCs w:val="24"/>
        </w:rPr>
      </w:pPr>
    </w:p>
    <w:p w14:paraId="2B3EBB96" w14:textId="77777777" w:rsidR="00796196" w:rsidRPr="00FA0E73" w:rsidRDefault="00796196" w:rsidP="00796196">
      <w:pPr>
        <w:spacing w:line="480" w:lineRule="auto"/>
        <w:rPr>
          <w:rFonts w:ascii="Times New Roman" w:hAnsi="Times New Roman" w:cs="Times New Roman"/>
          <w:sz w:val="24"/>
          <w:szCs w:val="24"/>
        </w:rPr>
      </w:pPr>
      <w:r w:rsidRPr="00FA0E73">
        <w:rPr>
          <w:rFonts w:ascii="Times New Roman" w:hAnsi="Times New Roman" w:cs="Times New Roman"/>
          <w:sz w:val="24"/>
          <w:szCs w:val="24"/>
        </w:rPr>
        <w:t>• Abreviaturas: csPCa = cáncer de próstata clínicamente significativo; ISUP = International Society of Urological Pathology.</w:t>
      </w:r>
    </w:p>
    <w:p w14:paraId="1BF1BC3E" w14:textId="44B8A6BA" w:rsidR="00577CB7" w:rsidRDefault="00577CB7">
      <w:pPr>
        <w:rPr>
          <w:rFonts w:ascii="Times New Roman" w:hAnsi="Times New Roman" w:cs="Times New Roman"/>
          <w:sz w:val="24"/>
          <w:szCs w:val="24"/>
        </w:rPr>
      </w:pPr>
      <w:r>
        <w:rPr>
          <w:rFonts w:ascii="Times New Roman" w:hAnsi="Times New Roman" w:cs="Times New Roman"/>
          <w:sz w:val="24"/>
          <w:szCs w:val="24"/>
        </w:rPr>
        <w:br w:type="page"/>
      </w:r>
    </w:p>
    <w:p w14:paraId="7AE10190" w14:textId="435554F5" w:rsidR="00D30208" w:rsidRPr="00581213" w:rsidRDefault="00577CB7" w:rsidP="00C4144D">
      <w:pPr>
        <w:spacing w:after="0" w:line="480" w:lineRule="auto"/>
        <w:jc w:val="both"/>
        <w:rPr>
          <w:rFonts w:ascii="Times New Roman" w:hAnsi="Times New Roman" w:cs="Times New Roman"/>
          <w:b/>
          <w:bCs/>
          <w:sz w:val="24"/>
          <w:szCs w:val="24"/>
        </w:rPr>
      </w:pPr>
      <w:r w:rsidRPr="00581213">
        <w:rPr>
          <w:rFonts w:ascii="Times New Roman" w:hAnsi="Times New Roman" w:cs="Times New Roman"/>
          <w:b/>
          <w:bCs/>
          <w:sz w:val="24"/>
          <w:szCs w:val="24"/>
        </w:rPr>
        <w:lastRenderedPageBreak/>
        <w:t xml:space="preserve">Figura 2. Se </w:t>
      </w:r>
      <w:r w:rsidR="00710FFA" w:rsidRPr="00581213">
        <w:rPr>
          <w:rFonts w:ascii="Times New Roman" w:hAnsi="Times New Roman" w:cs="Times New Roman"/>
          <w:b/>
          <w:bCs/>
          <w:sz w:val="24"/>
          <w:szCs w:val="24"/>
        </w:rPr>
        <w:t>muestra las tasas diagnósticas para cada método de biopsia por separado</w:t>
      </w:r>
      <w:r w:rsidR="00F71C86" w:rsidRPr="00581213">
        <w:rPr>
          <w:rFonts w:ascii="Times New Roman" w:hAnsi="Times New Roman" w:cs="Times New Roman"/>
          <w:b/>
          <w:bCs/>
          <w:sz w:val="24"/>
          <w:szCs w:val="24"/>
        </w:rPr>
        <w:t>, en base al 100% N=651 biopsias combinadas analizadas</w:t>
      </w:r>
      <w:r w:rsidR="00710FFA" w:rsidRPr="00581213">
        <w:rPr>
          <w:rFonts w:ascii="Times New Roman" w:hAnsi="Times New Roman" w:cs="Times New Roman"/>
          <w:b/>
          <w:bCs/>
          <w:sz w:val="24"/>
          <w:szCs w:val="24"/>
        </w:rPr>
        <w:t xml:space="preserve">. </w:t>
      </w:r>
    </w:p>
    <w:p w14:paraId="505F7E12" w14:textId="029D81C7" w:rsidR="00710FFA" w:rsidRPr="00B938FB" w:rsidRDefault="00710FFA" w:rsidP="00C4144D">
      <w:pPr>
        <w:spacing w:after="0" w:line="480" w:lineRule="auto"/>
        <w:jc w:val="both"/>
        <w:rPr>
          <w:rFonts w:ascii="Times New Roman" w:hAnsi="Times New Roman" w:cs="Times New Roman"/>
          <w:sz w:val="24"/>
          <w:szCs w:val="24"/>
        </w:rPr>
      </w:pPr>
      <w:r w:rsidRPr="00710FFA">
        <w:rPr>
          <w:rFonts w:ascii="Times New Roman" w:hAnsi="Times New Roman" w:cs="Times New Roman"/>
          <w:sz w:val="24"/>
          <w:szCs w:val="24"/>
        </w:rPr>
        <w:drawing>
          <wp:inline distT="0" distB="0" distL="0" distR="0" wp14:anchorId="6F887054" wp14:editId="29C112AA">
            <wp:extent cx="6048375" cy="6267450"/>
            <wp:effectExtent l="0" t="0" r="9525" b="0"/>
            <wp:docPr id="495024512" name="Gráfico 1">
              <a:extLst xmlns:a="http://schemas.openxmlformats.org/drawingml/2006/main">
                <a:ext uri="{FF2B5EF4-FFF2-40B4-BE49-F238E27FC236}">
                  <a16:creationId xmlns:a16="http://schemas.microsoft.com/office/drawing/2014/main" id="{9A6C3BB7-8143-C977-EABA-02AB1599B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710FFA" w:rsidRPr="00B938FB" w:rsidSect="00C4144D">
      <w:headerReference w:type="default" r:id="rId8"/>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5ADC" w14:textId="77777777" w:rsidR="00AE330B" w:rsidRDefault="00AE330B" w:rsidP="00665BD3">
      <w:pPr>
        <w:spacing w:after="0" w:line="240" w:lineRule="auto"/>
      </w:pPr>
      <w:r>
        <w:separator/>
      </w:r>
    </w:p>
  </w:endnote>
  <w:endnote w:type="continuationSeparator" w:id="0">
    <w:p w14:paraId="15CD6785" w14:textId="77777777" w:rsidR="00AE330B" w:rsidRDefault="00AE330B" w:rsidP="006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CD0E" w14:textId="77777777" w:rsidR="00AE330B" w:rsidRDefault="00AE330B" w:rsidP="00665BD3">
      <w:pPr>
        <w:spacing w:after="0" w:line="240" w:lineRule="auto"/>
      </w:pPr>
      <w:r>
        <w:separator/>
      </w:r>
    </w:p>
  </w:footnote>
  <w:footnote w:type="continuationSeparator" w:id="0">
    <w:p w14:paraId="5B3F6488" w14:textId="77777777" w:rsidR="00AE330B" w:rsidRDefault="00AE330B" w:rsidP="00665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0002"/>
      <w:docPartObj>
        <w:docPartGallery w:val="Page Numbers (Top of Page)"/>
        <w:docPartUnique/>
      </w:docPartObj>
    </w:sdtPr>
    <w:sdtEndPr>
      <w:rPr>
        <w:rFonts w:ascii="Times New Roman" w:hAnsi="Times New Roman" w:cs="Times New Roman"/>
        <w:sz w:val="24"/>
        <w:szCs w:val="24"/>
      </w:rPr>
    </w:sdtEndPr>
    <w:sdtContent>
      <w:p w14:paraId="1F643D08" w14:textId="188A1DF1" w:rsidR="00801BA7" w:rsidRPr="00826A79" w:rsidRDefault="00801BA7">
        <w:pPr>
          <w:pStyle w:val="Encabezado"/>
          <w:jc w:val="center"/>
          <w:rPr>
            <w:rFonts w:ascii="Times New Roman" w:hAnsi="Times New Roman" w:cs="Times New Roman"/>
            <w:sz w:val="24"/>
            <w:szCs w:val="24"/>
          </w:rPr>
        </w:pPr>
        <w:r w:rsidRPr="00826A79">
          <w:rPr>
            <w:rFonts w:ascii="Times New Roman" w:hAnsi="Times New Roman" w:cs="Times New Roman"/>
            <w:sz w:val="24"/>
            <w:szCs w:val="24"/>
          </w:rPr>
          <w:fldChar w:fldCharType="begin"/>
        </w:r>
        <w:r w:rsidRPr="00826A79">
          <w:rPr>
            <w:rFonts w:ascii="Times New Roman" w:hAnsi="Times New Roman" w:cs="Times New Roman"/>
            <w:sz w:val="24"/>
            <w:szCs w:val="24"/>
          </w:rPr>
          <w:instrText>PAGE   \* MERGEFORMAT</w:instrText>
        </w:r>
        <w:r w:rsidRPr="00826A79">
          <w:rPr>
            <w:rFonts w:ascii="Times New Roman" w:hAnsi="Times New Roman" w:cs="Times New Roman"/>
            <w:sz w:val="24"/>
            <w:szCs w:val="24"/>
          </w:rPr>
          <w:fldChar w:fldCharType="separate"/>
        </w:r>
        <w:r w:rsidRPr="00826A79">
          <w:rPr>
            <w:rFonts w:ascii="Times New Roman" w:hAnsi="Times New Roman" w:cs="Times New Roman"/>
            <w:sz w:val="24"/>
            <w:szCs w:val="24"/>
            <w:lang w:val="es-ES"/>
          </w:rPr>
          <w:t>2</w:t>
        </w:r>
        <w:r w:rsidRPr="00826A79">
          <w:rPr>
            <w:rFonts w:ascii="Times New Roman" w:hAnsi="Times New Roman" w:cs="Times New Roman"/>
            <w:sz w:val="24"/>
            <w:szCs w:val="24"/>
          </w:rPr>
          <w:fldChar w:fldCharType="end"/>
        </w:r>
      </w:p>
    </w:sdtContent>
  </w:sdt>
  <w:p w14:paraId="67684D8C" w14:textId="77777777" w:rsidR="00801BA7" w:rsidRDefault="00801B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0C4E"/>
    <w:multiLevelType w:val="hybridMultilevel"/>
    <w:tmpl w:val="819CD58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CED3DE4"/>
    <w:multiLevelType w:val="hybridMultilevel"/>
    <w:tmpl w:val="D306263C"/>
    <w:lvl w:ilvl="0" w:tplc="59DE066C">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843718B"/>
    <w:multiLevelType w:val="hybridMultilevel"/>
    <w:tmpl w:val="7EB2DA4C"/>
    <w:lvl w:ilvl="0" w:tplc="3F02AF62">
      <w:start w:val="1"/>
      <w:numFmt w:val="bullet"/>
      <w:lvlText w:val="•"/>
      <w:lvlJc w:val="left"/>
      <w:pPr>
        <w:tabs>
          <w:tab w:val="num" w:pos="720"/>
        </w:tabs>
        <w:ind w:left="720" w:hanging="360"/>
      </w:pPr>
      <w:rPr>
        <w:rFonts w:ascii="Arial" w:hAnsi="Arial" w:hint="default"/>
      </w:rPr>
    </w:lvl>
    <w:lvl w:ilvl="1" w:tplc="CCA67D78" w:tentative="1">
      <w:start w:val="1"/>
      <w:numFmt w:val="bullet"/>
      <w:lvlText w:val="•"/>
      <w:lvlJc w:val="left"/>
      <w:pPr>
        <w:tabs>
          <w:tab w:val="num" w:pos="1440"/>
        </w:tabs>
        <w:ind w:left="1440" w:hanging="360"/>
      </w:pPr>
      <w:rPr>
        <w:rFonts w:ascii="Arial" w:hAnsi="Arial" w:hint="default"/>
      </w:rPr>
    </w:lvl>
    <w:lvl w:ilvl="2" w:tplc="F904AE44" w:tentative="1">
      <w:start w:val="1"/>
      <w:numFmt w:val="bullet"/>
      <w:lvlText w:val="•"/>
      <w:lvlJc w:val="left"/>
      <w:pPr>
        <w:tabs>
          <w:tab w:val="num" w:pos="2160"/>
        </w:tabs>
        <w:ind w:left="2160" w:hanging="360"/>
      </w:pPr>
      <w:rPr>
        <w:rFonts w:ascii="Arial" w:hAnsi="Arial" w:hint="default"/>
      </w:rPr>
    </w:lvl>
    <w:lvl w:ilvl="3" w:tplc="F66E689E" w:tentative="1">
      <w:start w:val="1"/>
      <w:numFmt w:val="bullet"/>
      <w:lvlText w:val="•"/>
      <w:lvlJc w:val="left"/>
      <w:pPr>
        <w:tabs>
          <w:tab w:val="num" w:pos="2880"/>
        </w:tabs>
        <w:ind w:left="2880" w:hanging="360"/>
      </w:pPr>
      <w:rPr>
        <w:rFonts w:ascii="Arial" w:hAnsi="Arial" w:hint="default"/>
      </w:rPr>
    </w:lvl>
    <w:lvl w:ilvl="4" w:tplc="D20A8342" w:tentative="1">
      <w:start w:val="1"/>
      <w:numFmt w:val="bullet"/>
      <w:lvlText w:val="•"/>
      <w:lvlJc w:val="left"/>
      <w:pPr>
        <w:tabs>
          <w:tab w:val="num" w:pos="3600"/>
        </w:tabs>
        <w:ind w:left="3600" w:hanging="360"/>
      </w:pPr>
      <w:rPr>
        <w:rFonts w:ascii="Arial" w:hAnsi="Arial" w:hint="default"/>
      </w:rPr>
    </w:lvl>
    <w:lvl w:ilvl="5" w:tplc="16483DF0" w:tentative="1">
      <w:start w:val="1"/>
      <w:numFmt w:val="bullet"/>
      <w:lvlText w:val="•"/>
      <w:lvlJc w:val="left"/>
      <w:pPr>
        <w:tabs>
          <w:tab w:val="num" w:pos="4320"/>
        </w:tabs>
        <w:ind w:left="4320" w:hanging="360"/>
      </w:pPr>
      <w:rPr>
        <w:rFonts w:ascii="Arial" w:hAnsi="Arial" w:hint="default"/>
      </w:rPr>
    </w:lvl>
    <w:lvl w:ilvl="6" w:tplc="73FAAC16" w:tentative="1">
      <w:start w:val="1"/>
      <w:numFmt w:val="bullet"/>
      <w:lvlText w:val="•"/>
      <w:lvlJc w:val="left"/>
      <w:pPr>
        <w:tabs>
          <w:tab w:val="num" w:pos="5040"/>
        </w:tabs>
        <w:ind w:left="5040" w:hanging="360"/>
      </w:pPr>
      <w:rPr>
        <w:rFonts w:ascii="Arial" w:hAnsi="Arial" w:hint="default"/>
      </w:rPr>
    </w:lvl>
    <w:lvl w:ilvl="7" w:tplc="4FF6FD60" w:tentative="1">
      <w:start w:val="1"/>
      <w:numFmt w:val="bullet"/>
      <w:lvlText w:val="•"/>
      <w:lvlJc w:val="left"/>
      <w:pPr>
        <w:tabs>
          <w:tab w:val="num" w:pos="5760"/>
        </w:tabs>
        <w:ind w:left="5760" w:hanging="360"/>
      </w:pPr>
      <w:rPr>
        <w:rFonts w:ascii="Arial" w:hAnsi="Arial" w:hint="default"/>
      </w:rPr>
    </w:lvl>
    <w:lvl w:ilvl="8" w:tplc="157A6284" w:tentative="1">
      <w:start w:val="1"/>
      <w:numFmt w:val="bullet"/>
      <w:lvlText w:val="•"/>
      <w:lvlJc w:val="left"/>
      <w:pPr>
        <w:tabs>
          <w:tab w:val="num" w:pos="6480"/>
        </w:tabs>
        <w:ind w:left="6480" w:hanging="360"/>
      </w:pPr>
      <w:rPr>
        <w:rFonts w:ascii="Arial" w:hAnsi="Arial" w:hint="default"/>
      </w:rPr>
    </w:lvl>
  </w:abstractNum>
  <w:num w:numId="1" w16cid:durableId="1954555806">
    <w:abstractNumId w:val="0"/>
  </w:num>
  <w:num w:numId="2" w16cid:durableId="1874270623">
    <w:abstractNumId w:val="1"/>
  </w:num>
  <w:num w:numId="3" w16cid:durableId="2119979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32"/>
    <w:rsid w:val="00000873"/>
    <w:rsid w:val="00003AED"/>
    <w:rsid w:val="00026729"/>
    <w:rsid w:val="000304D5"/>
    <w:rsid w:val="0003736D"/>
    <w:rsid w:val="00055D06"/>
    <w:rsid w:val="000742C6"/>
    <w:rsid w:val="00083812"/>
    <w:rsid w:val="000A6F34"/>
    <w:rsid w:val="00100029"/>
    <w:rsid w:val="00111804"/>
    <w:rsid w:val="00143C55"/>
    <w:rsid w:val="00155DD3"/>
    <w:rsid w:val="00157B6A"/>
    <w:rsid w:val="00174004"/>
    <w:rsid w:val="00190B9F"/>
    <w:rsid w:val="0019120E"/>
    <w:rsid w:val="001A1EF9"/>
    <w:rsid w:val="001A6C9C"/>
    <w:rsid w:val="001A733D"/>
    <w:rsid w:val="001D649D"/>
    <w:rsid w:val="00200934"/>
    <w:rsid w:val="00203615"/>
    <w:rsid w:val="002250A7"/>
    <w:rsid w:val="00282A61"/>
    <w:rsid w:val="002961D7"/>
    <w:rsid w:val="002E3239"/>
    <w:rsid w:val="003050F7"/>
    <w:rsid w:val="00320EE8"/>
    <w:rsid w:val="003A42B6"/>
    <w:rsid w:val="003B226C"/>
    <w:rsid w:val="003C0971"/>
    <w:rsid w:val="003D63C7"/>
    <w:rsid w:val="003E43CA"/>
    <w:rsid w:val="00410A9E"/>
    <w:rsid w:val="00451E00"/>
    <w:rsid w:val="00465F74"/>
    <w:rsid w:val="00497EB1"/>
    <w:rsid w:val="004D3364"/>
    <w:rsid w:val="004D39D4"/>
    <w:rsid w:val="004E4680"/>
    <w:rsid w:val="004F0D15"/>
    <w:rsid w:val="004F63E8"/>
    <w:rsid w:val="00516A07"/>
    <w:rsid w:val="00550A5F"/>
    <w:rsid w:val="00577CB7"/>
    <w:rsid w:val="00581213"/>
    <w:rsid w:val="00590960"/>
    <w:rsid w:val="005A7142"/>
    <w:rsid w:val="005C060E"/>
    <w:rsid w:val="005C4668"/>
    <w:rsid w:val="005F36E0"/>
    <w:rsid w:val="0060016F"/>
    <w:rsid w:val="00611F32"/>
    <w:rsid w:val="006163AC"/>
    <w:rsid w:val="0062584E"/>
    <w:rsid w:val="00664283"/>
    <w:rsid w:val="00665BD3"/>
    <w:rsid w:val="00666F19"/>
    <w:rsid w:val="00694AF5"/>
    <w:rsid w:val="006A7763"/>
    <w:rsid w:val="006B19B8"/>
    <w:rsid w:val="006D31B2"/>
    <w:rsid w:val="006F2EFC"/>
    <w:rsid w:val="007011CE"/>
    <w:rsid w:val="00710FFA"/>
    <w:rsid w:val="00722D62"/>
    <w:rsid w:val="007325DD"/>
    <w:rsid w:val="00734C18"/>
    <w:rsid w:val="00747688"/>
    <w:rsid w:val="00754C42"/>
    <w:rsid w:val="00757F4C"/>
    <w:rsid w:val="007655D2"/>
    <w:rsid w:val="00791141"/>
    <w:rsid w:val="00796196"/>
    <w:rsid w:val="007A263E"/>
    <w:rsid w:val="007B2F62"/>
    <w:rsid w:val="007C7107"/>
    <w:rsid w:val="007E561D"/>
    <w:rsid w:val="007E7EDA"/>
    <w:rsid w:val="007F58DB"/>
    <w:rsid w:val="00801BA7"/>
    <w:rsid w:val="00826A79"/>
    <w:rsid w:val="00844B05"/>
    <w:rsid w:val="00876516"/>
    <w:rsid w:val="008936A2"/>
    <w:rsid w:val="008B554C"/>
    <w:rsid w:val="008E3F08"/>
    <w:rsid w:val="009463CE"/>
    <w:rsid w:val="00960AE0"/>
    <w:rsid w:val="00973D23"/>
    <w:rsid w:val="009819EF"/>
    <w:rsid w:val="00982780"/>
    <w:rsid w:val="00983B80"/>
    <w:rsid w:val="00987717"/>
    <w:rsid w:val="0099082B"/>
    <w:rsid w:val="009D4394"/>
    <w:rsid w:val="009F223D"/>
    <w:rsid w:val="00A1487A"/>
    <w:rsid w:val="00A213D5"/>
    <w:rsid w:val="00A33C5E"/>
    <w:rsid w:val="00A65594"/>
    <w:rsid w:val="00A67BBF"/>
    <w:rsid w:val="00A85064"/>
    <w:rsid w:val="00AB7470"/>
    <w:rsid w:val="00AC4D44"/>
    <w:rsid w:val="00AC522A"/>
    <w:rsid w:val="00AE2747"/>
    <w:rsid w:val="00AE330B"/>
    <w:rsid w:val="00AE5981"/>
    <w:rsid w:val="00B21920"/>
    <w:rsid w:val="00B805D8"/>
    <w:rsid w:val="00B84DAC"/>
    <w:rsid w:val="00B85BAE"/>
    <w:rsid w:val="00B938FB"/>
    <w:rsid w:val="00BD0A3B"/>
    <w:rsid w:val="00BD1B6B"/>
    <w:rsid w:val="00BE75F3"/>
    <w:rsid w:val="00C11123"/>
    <w:rsid w:val="00C33365"/>
    <w:rsid w:val="00C4144D"/>
    <w:rsid w:val="00C556B5"/>
    <w:rsid w:val="00C607FA"/>
    <w:rsid w:val="00C61C51"/>
    <w:rsid w:val="00C6733B"/>
    <w:rsid w:val="00C91457"/>
    <w:rsid w:val="00CA4FAA"/>
    <w:rsid w:val="00CD3E8F"/>
    <w:rsid w:val="00CE6975"/>
    <w:rsid w:val="00D30208"/>
    <w:rsid w:val="00D35563"/>
    <w:rsid w:val="00D4428E"/>
    <w:rsid w:val="00D70C09"/>
    <w:rsid w:val="00DA7509"/>
    <w:rsid w:val="00DD49CF"/>
    <w:rsid w:val="00E92884"/>
    <w:rsid w:val="00EA56B7"/>
    <w:rsid w:val="00EC1EF8"/>
    <w:rsid w:val="00F00288"/>
    <w:rsid w:val="00F10647"/>
    <w:rsid w:val="00F169B1"/>
    <w:rsid w:val="00F35C4F"/>
    <w:rsid w:val="00F6275B"/>
    <w:rsid w:val="00F71C86"/>
    <w:rsid w:val="00FA18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B2F03"/>
  <w15:chartTrackingRefBased/>
  <w15:docId w15:val="{73363ECE-07A4-4B43-A54A-D769EDF1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1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1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11F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11F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11F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11F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1F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1F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1F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F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11F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11F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11F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11F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11F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1F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1F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1F32"/>
    <w:rPr>
      <w:rFonts w:eastAsiaTheme="majorEastAsia" w:cstheme="majorBidi"/>
      <w:color w:val="272727" w:themeColor="text1" w:themeTint="D8"/>
    </w:rPr>
  </w:style>
  <w:style w:type="paragraph" w:styleId="Ttulo">
    <w:name w:val="Title"/>
    <w:basedOn w:val="Normal"/>
    <w:next w:val="Normal"/>
    <w:link w:val="TtuloCar"/>
    <w:uiPriority w:val="10"/>
    <w:qFormat/>
    <w:rsid w:val="0061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1F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1F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1F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1F32"/>
    <w:pPr>
      <w:spacing w:before="160"/>
      <w:jc w:val="center"/>
    </w:pPr>
    <w:rPr>
      <w:i/>
      <w:iCs/>
      <w:color w:val="404040" w:themeColor="text1" w:themeTint="BF"/>
    </w:rPr>
  </w:style>
  <w:style w:type="character" w:customStyle="1" w:styleId="CitaCar">
    <w:name w:val="Cita Car"/>
    <w:basedOn w:val="Fuentedeprrafopredeter"/>
    <w:link w:val="Cita"/>
    <w:uiPriority w:val="29"/>
    <w:rsid w:val="00611F32"/>
    <w:rPr>
      <w:i/>
      <w:iCs/>
      <w:color w:val="404040" w:themeColor="text1" w:themeTint="BF"/>
    </w:rPr>
  </w:style>
  <w:style w:type="paragraph" w:styleId="Prrafodelista">
    <w:name w:val="List Paragraph"/>
    <w:basedOn w:val="Normal"/>
    <w:uiPriority w:val="34"/>
    <w:qFormat/>
    <w:rsid w:val="00611F32"/>
    <w:pPr>
      <w:ind w:left="720"/>
      <w:contextualSpacing/>
    </w:pPr>
  </w:style>
  <w:style w:type="character" w:styleId="nfasisintenso">
    <w:name w:val="Intense Emphasis"/>
    <w:basedOn w:val="Fuentedeprrafopredeter"/>
    <w:uiPriority w:val="21"/>
    <w:qFormat/>
    <w:rsid w:val="00611F32"/>
    <w:rPr>
      <w:i/>
      <w:iCs/>
      <w:color w:val="0F4761" w:themeColor="accent1" w:themeShade="BF"/>
    </w:rPr>
  </w:style>
  <w:style w:type="paragraph" w:styleId="Citadestacada">
    <w:name w:val="Intense Quote"/>
    <w:basedOn w:val="Normal"/>
    <w:next w:val="Normal"/>
    <w:link w:val="CitadestacadaCar"/>
    <w:uiPriority w:val="30"/>
    <w:qFormat/>
    <w:rsid w:val="0061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11F32"/>
    <w:rPr>
      <w:i/>
      <w:iCs/>
      <w:color w:val="0F4761" w:themeColor="accent1" w:themeShade="BF"/>
    </w:rPr>
  </w:style>
  <w:style w:type="character" w:styleId="Referenciaintensa">
    <w:name w:val="Intense Reference"/>
    <w:basedOn w:val="Fuentedeprrafopredeter"/>
    <w:uiPriority w:val="32"/>
    <w:qFormat/>
    <w:rsid w:val="00611F32"/>
    <w:rPr>
      <w:b/>
      <w:bCs/>
      <w:smallCaps/>
      <w:color w:val="0F4761" w:themeColor="accent1" w:themeShade="BF"/>
      <w:spacing w:val="5"/>
    </w:rPr>
  </w:style>
  <w:style w:type="paragraph" w:styleId="Encabezado">
    <w:name w:val="header"/>
    <w:basedOn w:val="Normal"/>
    <w:link w:val="EncabezadoCar"/>
    <w:uiPriority w:val="99"/>
    <w:unhideWhenUsed/>
    <w:rsid w:val="00665B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BD3"/>
  </w:style>
  <w:style w:type="paragraph" w:styleId="Piedepgina">
    <w:name w:val="footer"/>
    <w:basedOn w:val="Normal"/>
    <w:link w:val="PiedepginaCar"/>
    <w:uiPriority w:val="99"/>
    <w:unhideWhenUsed/>
    <w:rsid w:val="00665B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BD3"/>
  </w:style>
  <w:style w:type="table" w:styleId="Tablaconcuadrcula">
    <w:name w:val="Table Grid"/>
    <w:basedOn w:val="Tablanormal"/>
    <w:uiPriority w:val="59"/>
    <w:rsid w:val="00203615"/>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7961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796196"/>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9fdbaca5bee0620/UROLOGIA/TRABAJOS%20DE%20INVESTIGACION/2025%20C&#225;ncer%20clinicamente%20significativo%20fuera%20de%20target%20en%20biopsia%20de%20pr&#243;stata%20fusi&#243;n/DATOS%20A%20EXTRAIDOS%20A%20PACIENTES%20DE%20KOELIS%20HASTA%20EL%2030-06-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s-CL" sz="2400" b="1">
                <a:solidFill>
                  <a:schemeClr val="tx1"/>
                </a:solidFill>
                <a:latin typeface="Times New Roman" panose="02020603050405020304" pitchFamily="18" charset="0"/>
                <a:cs typeface="Times New Roman" panose="02020603050405020304" pitchFamily="18" charset="0"/>
              </a:rPr>
              <a:t>Detección de cáncer de próstata según método de biopsia</a:t>
            </a:r>
          </a:p>
        </c:rich>
      </c:tx>
      <c:overlay val="0"/>
      <c:spPr>
        <a:noFill/>
        <a:ln>
          <a:noFill/>
        </a:ln>
        <a:effectLst/>
      </c:spPr>
      <c:txPr>
        <a:bodyPr rot="0" spcFirstLastPara="1" vertOverflow="ellipsis" vert="horz" wrap="square" anchor="ctr" anchorCtr="1"/>
        <a:lstStyle/>
        <a:p>
          <a:pPr>
            <a:defRPr sz="2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s-CL"/>
        </a:p>
      </c:txPr>
    </c:title>
    <c:autoTitleDeleted val="0"/>
    <c:plotArea>
      <c:layout>
        <c:manualLayout>
          <c:layoutTarget val="inner"/>
          <c:xMode val="edge"/>
          <c:yMode val="edge"/>
          <c:x val="5.544930350770557E-2"/>
          <c:y val="8.3755553869471033E-2"/>
          <c:w val="0.87103870549727602"/>
          <c:h val="0.79955299961857451"/>
        </c:manualLayout>
      </c:layout>
      <c:barChart>
        <c:barDir val="col"/>
        <c:grouping val="stacked"/>
        <c:varyColors val="0"/>
        <c:ser>
          <c:idx val="0"/>
          <c:order val="0"/>
          <c:tx>
            <c:strRef>
              <c:f>Hoja2!$B$6</c:f>
              <c:strCache>
                <c:ptCount val="1"/>
                <c:pt idx="0">
                  <c:v>ISUP 1</c:v>
                </c:pt>
              </c:strCache>
            </c:strRef>
          </c:tx>
          <c:spPr>
            <a:solidFill>
              <a:srgbClr val="85C8FF"/>
            </a:solidFill>
            <a:ln>
              <a:solidFill>
                <a:schemeClr val="accent1"/>
              </a:solidFill>
            </a:ln>
            <a:effectLst/>
          </c:spPr>
          <c:invertIfNegative val="0"/>
          <c:dLbls>
            <c:dLbl>
              <c:idx val="0"/>
              <c:tx>
                <c:rich>
                  <a:bodyPr/>
                  <a:lstStyle/>
                  <a:p>
                    <a:r>
                      <a:rPr lang="en-US" baseline="0"/>
                      <a:t>25,7% (n=167)</a:t>
                    </a:r>
                  </a:p>
                  <a:p>
                    <a:endParaRPr lang="en-US"/>
                  </a:p>
                </c:rich>
              </c:tx>
              <c:showLegendKey val="0"/>
              <c:showVal val="1"/>
              <c:showCatName val="0"/>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0-D449-4464-A112-C0CDB0BAACE6}"/>
                </c:ext>
              </c:extLst>
            </c:dLbl>
            <c:dLbl>
              <c:idx val="1"/>
              <c:tx>
                <c:rich>
                  <a:bodyPr/>
                  <a:lstStyle/>
                  <a:p>
                    <a:r>
                      <a:rPr lang="en-US"/>
                      <a:t>30,0% (n=195)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1-D449-4464-A112-C0CDB0BAACE6}"/>
                </c:ext>
              </c:extLst>
            </c:dLbl>
            <c:dLbl>
              <c:idx val="2"/>
              <c:tx>
                <c:rich>
                  <a:bodyPr/>
                  <a:lstStyle/>
                  <a:p>
                    <a:r>
                      <a:rPr lang="en-US" baseline="0"/>
                      <a:t>27,0% (n=176)</a:t>
                    </a:r>
                  </a:p>
                  <a:p>
                    <a:endParaRPr lang="en-US"/>
                  </a:p>
                </c:rich>
              </c:tx>
              <c:showLegendKey val="0"/>
              <c:showVal val="1"/>
              <c:showCatName val="0"/>
              <c:showSerName val="0"/>
              <c:showPercent val="0"/>
              <c:showBubbleSize val="0"/>
              <c:separator>
</c:separator>
              <c:extLst>
                <c:ext xmlns:c15="http://schemas.microsoft.com/office/drawing/2012/chart" uri="{CE6537A1-D6FC-4f65-9D91-7224C49458BB}">
                  <c15:showDataLabelsRange val="1"/>
                </c:ext>
                <c:ext xmlns:c16="http://schemas.microsoft.com/office/drawing/2014/chart" uri="{C3380CC4-5D6E-409C-BE32-E72D297353CC}">
                  <c16:uniqueId val="{00000002-D449-4464-A112-C0CDB0BAACE6}"/>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s-CL"/>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Hoja2!$A$7:$A$9</c:f>
              <c:strCache>
                <c:ptCount val="3"/>
                <c:pt idx="0">
                  <c:v>Target</c:v>
                </c:pt>
                <c:pt idx="1">
                  <c:v>Sistemática</c:v>
                </c:pt>
                <c:pt idx="2">
                  <c:v>Combinada</c:v>
                </c:pt>
              </c:strCache>
            </c:strRef>
          </c:cat>
          <c:val>
            <c:numRef>
              <c:f>Hoja2!$B$7:$B$9</c:f>
              <c:numCache>
                <c:formatCode>0.0%</c:formatCode>
                <c:ptCount val="3"/>
                <c:pt idx="0">
                  <c:v>0.25700000000000001</c:v>
                </c:pt>
                <c:pt idx="1">
                  <c:v>0.3</c:v>
                </c:pt>
                <c:pt idx="2">
                  <c:v>0.27</c:v>
                </c:pt>
              </c:numCache>
            </c:numRef>
          </c:val>
          <c:extLst>
            <c:ext xmlns:c15="http://schemas.microsoft.com/office/drawing/2012/chart" uri="{02D57815-91ED-43cb-92C2-25804820EDAC}">
              <c15:datalabelsRange>
                <c15:f>Hoja2!$B$2:$B$4</c15:f>
                <c15:dlblRangeCache>
                  <c:ptCount val="3"/>
                  <c:pt idx="0">
                    <c:v>167</c:v>
                  </c:pt>
                  <c:pt idx="1">
                    <c:v>195</c:v>
                  </c:pt>
                  <c:pt idx="2">
                    <c:v>176</c:v>
                  </c:pt>
                </c15:dlblRangeCache>
              </c15:datalabelsRange>
            </c:ext>
            <c:ext xmlns:c16="http://schemas.microsoft.com/office/drawing/2014/chart" uri="{C3380CC4-5D6E-409C-BE32-E72D297353CC}">
              <c16:uniqueId val="{00000003-D449-4464-A112-C0CDB0BAACE6}"/>
            </c:ext>
          </c:extLst>
        </c:ser>
        <c:ser>
          <c:idx val="1"/>
          <c:order val="1"/>
          <c:tx>
            <c:strRef>
              <c:f>Hoja2!$C$6</c:f>
              <c:strCache>
                <c:ptCount val="1"/>
                <c:pt idx="0">
                  <c:v>ISUP 2</c:v>
                </c:pt>
              </c:strCache>
            </c:strRef>
          </c:tx>
          <c:spPr>
            <a:solidFill>
              <a:srgbClr val="FFFF99"/>
            </a:solidFill>
            <a:ln>
              <a:solidFill>
                <a:schemeClr val="accent1"/>
              </a:solidFill>
            </a:ln>
            <a:effectLst/>
          </c:spPr>
          <c:invertIfNegative val="0"/>
          <c:dLbls>
            <c:dLbl>
              <c:idx val="0"/>
              <c:tx>
                <c:rich>
                  <a:bodyPr/>
                  <a:lstStyle/>
                  <a:p>
                    <a:r>
                      <a:rPr lang="en-US" baseline="0"/>
                      <a:t>21,5% (n=140)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4-D449-4464-A112-C0CDB0BAACE6}"/>
                </c:ext>
              </c:extLst>
            </c:dLbl>
            <c:dLbl>
              <c:idx val="1"/>
              <c:tx>
                <c:rich>
                  <a:bodyPr/>
                  <a:lstStyle/>
                  <a:p>
                    <a:r>
                      <a:rPr lang="en-US"/>
                      <a:t>21,4% (n=139)</a:t>
                    </a:r>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5-D449-4464-A112-C0CDB0BAACE6}"/>
                </c:ext>
              </c:extLst>
            </c:dLbl>
            <c:dLbl>
              <c:idx val="2"/>
              <c:tx>
                <c:rich>
                  <a:bodyPr/>
                  <a:lstStyle/>
                  <a:p>
                    <a:r>
                      <a:rPr lang="en-US" baseline="0"/>
                      <a:t>27,8% (n=181)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6-D449-4464-A112-C0CDB0BAACE6}"/>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s-CL"/>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Hoja2!$A$7:$A$9</c:f>
              <c:strCache>
                <c:ptCount val="3"/>
                <c:pt idx="0">
                  <c:v>Target</c:v>
                </c:pt>
                <c:pt idx="1">
                  <c:v>Sistemática</c:v>
                </c:pt>
                <c:pt idx="2">
                  <c:v>Combinada</c:v>
                </c:pt>
              </c:strCache>
            </c:strRef>
          </c:cat>
          <c:val>
            <c:numRef>
              <c:f>Hoja2!$C$7:$C$9</c:f>
              <c:numCache>
                <c:formatCode>0.0%</c:formatCode>
                <c:ptCount val="3"/>
                <c:pt idx="0">
                  <c:v>0.215</c:v>
                </c:pt>
                <c:pt idx="1">
                  <c:v>0.214</c:v>
                </c:pt>
                <c:pt idx="2">
                  <c:v>0.27800000000000002</c:v>
                </c:pt>
              </c:numCache>
            </c:numRef>
          </c:val>
          <c:extLst>
            <c:ext xmlns:c15="http://schemas.microsoft.com/office/drawing/2012/chart" uri="{02D57815-91ED-43cb-92C2-25804820EDAC}">
              <c15:datalabelsRange>
                <c15:f>Hoja2!$C$2:$C$4</c15:f>
                <c15:dlblRangeCache>
                  <c:ptCount val="3"/>
                  <c:pt idx="0">
                    <c:v>140</c:v>
                  </c:pt>
                  <c:pt idx="1">
                    <c:v>139</c:v>
                  </c:pt>
                  <c:pt idx="2">
                    <c:v>181</c:v>
                  </c:pt>
                </c15:dlblRangeCache>
              </c15:datalabelsRange>
            </c:ext>
            <c:ext xmlns:c16="http://schemas.microsoft.com/office/drawing/2014/chart" uri="{C3380CC4-5D6E-409C-BE32-E72D297353CC}">
              <c16:uniqueId val="{00000007-D449-4464-A112-C0CDB0BAACE6}"/>
            </c:ext>
          </c:extLst>
        </c:ser>
        <c:ser>
          <c:idx val="2"/>
          <c:order val="2"/>
          <c:tx>
            <c:strRef>
              <c:f>Hoja2!$D$6</c:f>
              <c:strCache>
                <c:ptCount val="1"/>
                <c:pt idx="0">
                  <c:v>ISUP 3</c:v>
                </c:pt>
              </c:strCache>
            </c:strRef>
          </c:tx>
          <c:spPr>
            <a:solidFill>
              <a:srgbClr val="92D050"/>
            </a:solidFill>
            <a:ln>
              <a:solidFill>
                <a:schemeClr val="accent1"/>
              </a:solidFill>
            </a:ln>
            <a:effectLst/>
          </c:spPr>
          <c:invertIfNegative val="0"/>
          <c:dLbls>
            <c:dLbl>
              <c:idx val="0"/>
              <c:tx>
                <c:rich>
                  <a:bodyPr/>
                  <a:lstStyle/>
                  <a:p>
                    <a:r>
                      <a:rPr lang="en-US" baseline="0"/>
                      <a:t>10,0% (n=65)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8-D449-4464-A112-C0CDB0BAACE6}"/>
                </c:ext>
              </c:extLst>
            </c:dLbl>
            <c:dLbl>
              <c:idx val="1"/>
              <c:tx>
                <c:rich>
                  <a:bodyPr/>
                  <a:lstStyle/>
                  <a:p>
                    <a:r>
                      <a:rPr lang="en-US" baseline="0"/>
                      <a:t>4,5% (n=29)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9-D449-4464-A112-C0CDB0BAACE6}"/>
                </c:ext>
              </c:extLst>
            </c:dLbl>
            <c:dLbl>
              <c:idx val="2"/>
              <c:tx>
                <c:rich>
                  <a:bodyPr/>
                  <a:lstStyle/>
                  <a:p>
                    <a:r>
                      <a:rPr lang="en-US" baseline="0"/>
                      <a:t>10,4% (n=68)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A-D449-4464-A112-C0CDB0BAACE6}"/>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s-CL"/>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Hoja2!$A$7:$A$9</c:f>
              <c:strCache>
                <c:ptCount val="3"/>
                <c:pt idx="0">
                  <c:v>Target</c:v>
                </c:pt>
                <c:pt idx="1">
                  <c:v>Sistemática</c:v>
                </c:pt>
                <c:pt idx="2">
                  <c:v>Combinada</c:v>
                </c:pt>
              </c:strCache>
            </c:strRef>
          </c:cat>
          <c:val>
            <c:numRef>
              <c:f>Hoja2!$D$7:$D$9</c:f>
              <c:numCache>
                <c:formatCode>0.0%</c:formatCode>
                <c:ptCount val="3"/>
                <c:pt idx="0">
                  <c:v>0.1</c:v>
                </c:pt>
                <c:pt idx="1">
                  <c:v>4.4999999999999998E-2</c:v>
                </c:pt>
                <c:pt idx="2">
                  <c:v>0.104</c:v>
                </c:pt>
              </c:numCache>
            </c:numRef>
          </c:val>
          <c:extLst>
            <c:ext xmlns:c15="http://schemas.microsoft.com/office/drawing/2012/chart" uri="{02D57815-91ED-43cb-92C2-25804820EDAC}">
              <c15:datalabelsRange>
                <c15:f>Hoja2!$D$2:$D$4</c15:f>
                <c15:dlblRangeCache>
                  <c:ptCount val="3"/>
                  <c:pt idx="0">
                    <c:v>65</c:v>
                  </c:pt>
                  <c:pt idx="1">
                    <c:v>29</c:v>
                  </c:pt>
                  <c:pt idx="2">
                    <c:v>68</c:v>
                  </c:pt>
                </c15:dlblRangeCache>
              </c15:datalabelsRange>
            </c:ext>
            <c:ext xmlns:c16="http://schemas.microsoft.com/office/drawing/2014/chart" uri="{C3380CC4-5D6E-409C-BE32-E72D297353CC}">
              <c16:uniqueId val="{0000000B-D449-4464-A112-C0CDB0BAACE6}"/>
            </c:ext>
          </c:extLst>
        </c:ser>
        <c:ser>
          <c:idx val="3"/>
          <c:order val="3"/>
          <c:tx>
            <c:strRef>
              <c:f>Hoja2!$E$6</c:f>
              <c:strCache>
                <c:ptCount val="1"/>
                <c:pt idx="0">
                  <c:v>ISUP 4</c:v>
                </c:pt>
              </c:strCache>
            </c:strRef>
          </c:tx>
          <c:spPr>
            <a:solidFill>
              <a:srgbClr val="FF0000"/>
            </a:solidFill>
            <a:ln>
              <a:solidFill>
                <a:schemeClr val="accent1"/>
              </a:solidFill>
            </a:ln>
            <a:effectLst/>
          </c:spPr>
          <c:invertIfNegative val="0"/>
          <c:dLbls>
            <c:dLbl>
              <c:idx val="0"/>
              <c:layout>
                <c:manualLayout>
                  <c:x val="0.13938967077934156"/>
                  <c:y val="6.7975013761577673E-3"/>
                </c:manualLayout>
              </c:layout>
              <c:tx>
                <c:rich>
                  <a:bodyPr/>
                  <a:lstStyle/>
                  <a:p>
                    <a:r>
                      <a:rPr lang="en-US" sz="1100"/>
                      <a:t>0,9% (n=6)</a:t>
                    </a:r>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C-D449-4464-A112-C0CDB0BAACE6}"/>
                </c:ext>
              </c:extLst>
            </c:dLbl>
            <c:dLbl>
              <c:idx val="1"/>
              <c:layout>
                <c:manualLayout>
                  <c:x val="0.14375910885155105"/>
                  <c:y val="2.3949134017814812E-4"/>
                </c:manualLayout>
              </c:layout>
              <c:tx>
                <c:rich>
                  <a:bodyPr/>
                  <a:lstStyle/>
                  <a:p>
                    <a:r>
                      <a:rPr lang="en-US" baseline="0"/>
                      <a:t>1,4% (n=9)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D-D449-4464-A112-C0CDB0BAACE6}"/>
                </c:ext>
              </c:extLst>
            </c:dLbl>
            <c:dLbl>
              <c:idx val="2"/>
              <c:layout>
                <c:manualLayout>
                  <c:x val="0.12938731477462956"/>
                  <c:y val="3.1353102138828394E-2"/>
                </c:manualLayout>
              </c:layout>
              <c:tx>
                <c:rich>
                  <a:bodyPr/>
                  <a:lstStyle/>
                  <a:p>
                    <a:r>
                      <a:rPr lang="en-US" baseline="0"/>
                      <a:t>2,0% (n=13)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0E-D449-4464-A112-C0CDB0BAACE6}"/>
                </c:ext>
              </c:extLst>
            </c:dLbl>
            <c:spPr>
              <a:solidFill>
                <a:srgbClr val="FF8989"/>
              </a:solid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s-CL"/>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Hoja2!$A$7:$A$9</c:f>
              <c:strCache>
                <c:ptCount val="3"/>
                <c:pt idx="0">
                  <c:v>Target</c:v>
                </c:pt>
                <c:pt idx="1">
                  <c:v>Sistemática</c:v>
                </c:pt>
                <c:pt idx="2">
                  <c:v>Combinada</c:v>
                </c:pt>
              </c:strCache>
            </c:strRef>
          </c:cat>
          <c:val>
            <c:numRef>
              <c:f>Hoja2!$E$7:$E$9</c:f>
              <c:numCache>
                <c:formatCode>0.0%</c:formatCode>
                <c:ptCount val="3"/>
                <c:pt idx="0">
                  <c:v>8.9999999999999993E-3</c:v>
                </c:pt>
                <c:pt idx="1">
                  <c:v>1.4E-2</c:v>
                </c:pt>
                <c:pt idx="2">
                  <c:v>0.02</c:v>
                </c:pt>
              </c:numCache>
            </c:numRef>
          </c:val>
          <c:extLst>
            <c:ext xmlns:c15="http://schemas.microsoft.com/office/drawing/2012/chart" uri="{02D57815-91ED-43cb-92C2-25804820EDAC}">
              <c15:datalabelsRange>
                <c15:f>Hoja2!$E$2:$E$4</c15:f>
                <c15:dlblRangeCache>
                  <c:ptCount val="3"/>
                  <c:pt idx="0">
                    <c:v>6</c:v>
                  </c:pt>
                  <c:pt idx="1">
                    <c:v>9</c:v>
                  </c:pt>
                  <c:pt idx="2">
                    <c:v>13</c:v>
                  </c:pt>
                </c15:dlblRangeCache>
              </c15:datalabelsRange>
            </c:ext>
            <c:ext xmlns:c16="http://schemas.microsoft.com/office/drawing/2014/chart" uri="{C3380CC4-5D6E-409C-BE32-E72D297353CC}">
              <c16:uniqueId val="{0000000F-D449-4464-A112-C0CDB0BAACE6}"/>
            </c:ext>
          </c:extLst>
        </c:ser>
        <c:ser>
          <c:idx val="4"/>
          <c:order val="4"/>
          <c:tx>
            <c:strRef>
              <c:f>Hoja2!$F$6</c:f>
              <c:strCache>
                <c:ptCount val="1"/>
                <c:pt idx="0">
                  <c:v>ISUP 5</c:v>
                </c:pt>
              </c:strCache>
            </c:strRef>
          </c:tx>
          <c:spPr>
            <a:solidFill>
              <a:schemeClr val="bg2">
                <a:lumMod val="75000"/>
              </a:schemeClr>
            </a:solidFill>
            <a:ln>
              <a:solidFill>
                <a:schemeClr val="accent1"/>
              </a:solidFill>
            </a:ln>
            <a:effectLst/>
          </c:spPr>
          <c:invertIfNegative val="0"/>
          <c:dLbls>
            <c:dLbl>
              <c:idx val="0"/>
              <c:tx>
                <c:rich>
                  <a:bodyPr/>
                  <a:lstStyle/>
                  <a:p>
                    <a:r>
                      <a:rPr lang="en-US" baseline="0"/>
                      <a:t>2,8% (n=18)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10-D449-4464-A112-C0CDB0BAACE6}"/>
                </c:ext>
              </c:extLst>
            </c:dLbl>
            <c:dLbl>
              <c:idx val="1"/>
              <c:layout>
                <c:manualLayout>
                  <c:x val="6.2992125984251196E-3"/>
                  <c:y val="-4.0526849037488075E-3"/>
                </c:manualLayout>
              </c:layout>
              <c:tx>
                <c:rich>
                  <a:bodyPr/>
                  <a:lstStyle/>
                  <a:p>
                    <a:r>
                      <a:rPr lang="en-US" baseline="0"/>
                      <a:t>3,1% (n=20)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11-D449-4464-A112-C0CDB0BAACE6}"/>
                </c:ext>
              </c:extLst>
            </c:dLbl>
            <c:dLbl>
              <c:idx val="2"/>
              <c:tx>
                <c:rich>
                  <a:bodyPr/>
                  <a:lstStyle/>
                  <a:p>
                    <a:r>
                      <a:rPr lang="en-US" baseline="0"/>
                      <a:t>3,8% (n=25) </a:t>
                    </a:r>
                    <a:endParaRPr lang="en-US"/>
                  </a:p>
                </c:rich>
              </c:tx>
              <c:showLegendKey val="0"/>
              <c:showVal val="1"/>
              <c:showCatName val="0"/>
              <c:showSerName val="0"/>
              <c:showPercent val="0"/>
              <c:showBubbleSize val="0"/>
              <c:extLst>
                <c:ext xmlns:c15="http://schemas.microsoft.com/office/drawing/2012/chart" uri="{CE6537A1-D6FC-4f65-9D91-7224C49458BB}">
                  <c15:showDataLabelsRange val="1"/>
                </c:ext>
                <c:ext xmlns:c16="http://schemas.microsoft.com/office/drawing/2014/chart" uri="{C3380CC4-5D6E-409C-BE32-E72D297353CC}">
                  <c16:uniqueId val="{00000012-D449-4464-A112-C0CDB0BAACE6}"/>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s-CL"/>
              </a:p>
            </c:txP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Hoja2!$A$7:$A$9</c:f>
              <c:strCache>
                <c:ptCount val="3"/>
                <c:pt idx="0">
                  <c:v>Target</c:v>
                </c:pt>
                <c:pt idx="1">
                  <c:v>Sistemática</c:v>
                </c:pt>
                <c:pt idx="2">
                  <c:v>Combinada</c:v>
                </c:pt>
              </c:strCache>
            </c:strRef>
          </c:cat>
          <c:val>
            <c:numRef>
              <c:f>Hoja2!$F$7:$F$9</c:f>
              <c:numCache>
                <c:formatCode>0.0%</c:formatCode>
                <c:ptCount val="3"/>
                <c:pt idx="0">
                  <c:v>2.8000000000000001E-2</c:v>
                </c:pt>
                <c:pt idx="1">
                  <c:v>3.1E-2</c:v>
                </c:pt>
                <c:pt idx="2">
                  <c:v>3.7999999999999999E-2</c:v>
                </c:pt>
              </c:numCache>
            </c:numRef>
          </c:val>
          <c:extLst>
            <c:ext xmlns:c15="http://schemas.microsoft.com/office/drawing/2012/chart" uri="{02D57815-91ED-43cb-92C2-25804820EDAC}">
              <c15:datalabelsRange>
                <c15:f>Hoja2!$F$2:$F$4</c15:f>
                <c15:dlblRangeCache>
                  <c:ptCount val="3"/>
                  <c:pt idx="0">
                    <c:v>18</c:v>
                  </c:pt>
                  <c:pt idx="1">
                    <c:v>20</c:v>
                  </c:pt>
                  <c:pt idx="2">
                    <c:v>25</c:v>
                  </c:pt>
                </c15:dlblRangeCache>
              </c15:datalabelsRange>
            </c:ext>
            <c:ext xmlns:c16="http://schemas.microsoft.com/office/drawing/2014/chart" uri="{C3380CC4-5D6E-409C-BE32-E72D297353CC}">
              <c16:uniqueId val="{00000013-D449-4464-A112-C0CDB0BAACE6}"/>
            </c:ext>
          </c:extLst>
        </c:ser>
        <c:dLbls>
          <c:showLegendKey val="0"/>
          <c:showVal val="0"/>
          <c:showCatName val="0"/>
          <c:showSerName val="0"/>
          <c:showPercent val="0"/>
          <c:showBubbleSize val="0"/>
        </c:dLbls>
        <c:gapWidth val="150"/>
        <c:overlap val="100"/>
        <c:axId val="1199366016"/>
        <c:axId val="1199359296"/>
      </c:barChart>
      <c:catAx>
        <c:axId val="119936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CL"/>
          </a:p>
        </c:txPr>
        <c:crossAx val="1199359296"/>
        <c:crosses val="autoZero"/>
        <c:auto val="1"/>
        <c:lblAlgn val="ctr"/>
        <c:lblOffset val="100"/>
        <c:noMultiLvlLbl val="0"/>
      </c:catAx>
      <c:valAx>
        <c:axId val="1199359296"/>
        <c:scaling>
          <c:orientation val="minMax"/>
          <c:max val="1"/>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CL"/>
          </a:p>
        </c:txPr>
        <c:crossAx val="1199366016"/>
        <c:crosses val="autoZero"/>
        <c:crossBetween val="between"/>
      </c:valAx>
      <c:spPr>
        <a:noFill/>
        <a:ln>
          <a:noFill/>
        </a:ln>
        <a:effectLst/>
      </c:spPr>
    </c:plotArea>
    <c:legend>
      <c:legendPos val="b"/>
      <c:layout>
        <c:manualLayout>
          <c:xMode val="edge"/>
          <c:yMode val="edge"/>
          <c:x val="0.86774679149358314"/>
          <c:y val="1.1784942210016308E-3"/>
          <c:w val="0.13088424576849153"/>
          <c:h val="0.28506328703228823"/>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18</Pages>
  <Words>3678</Words>
  <Characters>21006</Characters>
  <Application>Microsoft Office Word</Application>
  <DocSecurity>0</DocSecurity>
  <Lines>456</Lines>
  <Paragraphs>241</Paragraphs>
  <ScaleCrop>false</ScaleCrop>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Marchant</dc:creator>
  <cp:keywords/>
  <dc:description/>
  <cp:lastModifiedBy>Alvaro Marchant</cp:lastModifiedBy>
  <cp:revision>86</cp:revision>
  <dcterms:created xsi:type="dcterms:W3CDTF">2025-09-24T03:46:00Z</dcterms:created>
  <dcterms:modified xsi:type="dcterms:W3CDTF">2025-10-15T04:08:00Z</dcterms:modified>
</cp:coreProperties>
</file>