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5A51E" w14:textId="77777777" w:rsidR="005448E1" w:rsidRDefault="00000000">
      <w:pPr>
        <w:spacing w:line="360" w:lineRule="auto"/>
        <w:jc w:val="center"/>
        <w:rPr>
          <w:b/>
          <w:sz w:val="28"/>
          <w:szCs w:val="28"/>
        </w:rPr>
      </w:pPr>
      <w:r>
        <w:rPr>
          <w:b/>
          <w:sz w:val="28"/>
          <w:szCs w:val="28"/>
        </w:rPr>
        <w:t>TRABAJO DE INGRESO A LA SOCIEDAD</w:t>
      </w:r>
    </w:p>
    <w:p w14:paraId="360C4385" w14:textId="77777777" w:rsidR="005448E1" w:rsidRDefault="005448E1">
      <w:pPr>
        <w:spacing w:line="360" w:lineRule="auto"/>
        <w:jc w:val="center"/>
        <w:rPr>
          <w:b/>
          <w:sz w:val="28"/>
          <w:szCs w:val="28"/>
        </w:rPr>
      </w:pPr>
    </w:p>
    <w:p w14:paraId="0F871412" w14:textId="77777777" w:rsidR="005448E1" w:rsidRDefault="00000000">
      <w:pPr>
        <w:spacing w:line="360" w:lineRule="auto"/>
        <w:jc w:val="center"/>
      </w:pPr>
      <w:r>
        <w:rPr>
          <w:b/>
          <w:sz w:val="28"/>
          <w:szCs w:val="28"/>
        </w:rPr>
        <w:t xml:space="preserve">TÍTULO: </w:t>
      </w:r>
      <w:proofErr w:type="gramStart"/>
      <w:r>
        <w:t>“ Adherencia</w:t>
      </w:r>
      <w:proofErr w:type="gramEnd"/>
      <w:r>
        <w:t xml:space="preserve"> al tratamiento de Instilación de BCG para pacientes con Cáncer de Vejiga No Músculo Invasor, en un protocolo con administración y seguimiento por Urólogos: Seguimiento a 3 años.” </w:t>
      </w:r>
    </w:p>
    <w:p w14:paraId="4C19A658" w14:textId="77777777" w:rsidR="005448E1" w:rsidRDefault="005448E1">
      <w:pPr>
        <w:spacing w:line="360" w:lineRule="auto"/>
        <w:rPr>
          <w:b/>
          <w:sz w:val="28"/>
          <w:szCs w:val="28"/>
        </w:rPr>
      </w:pPr>
    </w:p>
    <w:p w14:paraId="0F0F5377" w14:textId="77777777" w:rsidR="005448E1" w:rsidRDefault="00000000">
      <w:pPr>
        <w:spacing w:line="360" w:lineRule="auto"/>
      </w:pPr>
      <w:r>
        <w:rPr>
          <w:b/>
          <w:sz w:val="28"/>
          <w:szCs w:val="28"/>
        </w:rPr>
        <w:t xml:space="preserve">POSTULANTE: </w:t>
      </w:r>
      <w:r>
        <w:t xml:space="preserve">Juan Ignacio Córdova Pedreros (1) </w:t>
      </w:r>
    </w:p>
    <w:p w14:paraId="5A01B95F" w14:textId="77777777" w:rsidR="005448E1" w:rsidRDefault="005448E1">
      <w:pPr>
        <w:spacing w:line="360" w:lineRule="auto"/>
        <w:rPr>
          <w:b/>
          <w:sz w:val="28"/>
          <w:szCs w:val="28"/>
        </w:rPr>
      </w:pPr>
    </w:p>
    <w:p w14:paraId="0F3153BF" w14:textId="77777777" w:rsidR="005448E1" w:rsidRDefault="00000000">
      <w:pPr>
        <w:spacing w:line="360" w:lineRule="auto"/>
      </w:pPr>
      <w:r>
        <w:rPr>
          <w:b/>
          <w:sz w:val="28"/>
          <w:szCs w:val="28"/>
        </w:rPr>
        <w:t xml:space="preserve">AUTORES: </w:t>
      </w:r>
      <w:r>
        <w:t>Juan Ignacio Córdova Pedreros (1</w:t>
      </w:r>
      <w:proofErr w:type="gramStart"/>
      <w:r>
        <w:t>),  Matías</w:t>
      </w:r>
      <w:proofErr w:type="gramEnd"/>
      <w:r>
        <w:t xml:space="preserve"> </w:t>
      </w:r>
      <w:proofErr w:type="spellStart"/>
      <w:proofErr w:type="gramStart"/>
      <w:r>
        <w:t>Kirmayr</w:t>
      </w:r>
      <w:proofErr w:type="spellEnd"/>
      <w:r>
        <w:t>(</w:t>
      </w:r>
      <w:proofErr w:type="gramEnd"/>
      <w:r>
        <w:t xml:space="preserve">1) Rocío </w:t>
      </w:r>
      <w:proofErr w:type="spellStart"/>
      <w:proofErr w:type="gramStart"/>
      <w:r>
        <w:t>Davinson</w:t>
      </w:r>
      <w:proofErr w:type="spellEnd"/>
      <w:r>
        <w:t>(</w:t>
      </w:r>
      <w:proofErr w:type="gramEnd"/>
      <w:r>
        <w:t xml:space="preserve">2), Ignacio, Montiel (2), Jovan Araya (1), Eduardo Quintana (1) Cristian </w:t>
      </w:r>
      <w:proofErr w:type="gramStart"/>
      <w:r>
        <w:t>Muñoz(</w:t>
      </w:r>
      <w:proofErr w:type="gramEnd"/>
      <w:r>
        <w:t xml:space="preserve">1), </w:t>
      </w:r>
      <w:proofErr w:type="spellStart"/>
      <w:r>
        <w:t>Cristobal</w:t>
      </w:r>
      <w:proofErr w:type="spellEnd"/>
      <w:r>
        <w:t xml:space="preserve"> Henríquez, (1) Álvaro </w:t>
      </w:r>
      <w:proofErr w:type="spellStart"/>
      <w:r>
        <w:t>Hornig</w:t>
      </w:r>
      <w:proofErr w:type="spellEnd"/>
      <w:r>
        <w:t xml:space="preserve"> (1). </w:t>
      </w:r>
    </w:p>
    <w:p w14:paraId="72667EE1" w14:textId="77777777" w:rsidR="005448E1" w:rsidRDefault="005448E1">
      <w:pPr>
        <w:spacing w:line="360" w:lineRule="auto"/>
        <w:rPr>
          <w:b/>
          <w:sz w:val="28"/>
          <w:szCs w:val="28"/>
        </w:rPr>
      </w:pPr>
    </w:p>
    <w:p w14:paraId="611E7C4A" w14:textId="77777777" w:rsidR="005448E1" w:rsidRDefault="00000000">
      <w:pPr>
        <w:spacing w:line="360" w:lineRule="auto"/>
        <w:rPr>
          <w:b/>
          <w:sz w:val="28"/>
          <w:szCs w:val="28"/>
        </w:rPr>
      </w:pPr>
      <w:r>
        <w:rPr>
          <w:b/>
          <w:sz w:val="28"/>
          <w:szCs w:val="28"/>
        </w:rPr>
        <w:t xml:space="preserve">Filiaciones: </w:t>
      </w:r>
    </w:p>
    <w:p w14:paraId="69931B24" w14:textId="77777777" w:rsidR="005448E1" w:rsidRDefault="00000000">
      <w:pPr>
        <w:spacing w:line="360" w:lineRule="auto"/>
      </w:pPr>
      <w:r>
        <w:rPr>
          <w:b/>
        </w:rPr>
        <w:tab/>
      </w:r>
      <w:r>
        <w:t>(1) Urólogos Hospital Base San José Osorno</w:t>
      </w:r>
    </w:p>
    <w:p w14:paraId="4B85225F" w14:textId="77777777" w:rsidR="005448E1" w:rsidRDefault="00000000">
      <w:pPr>
        <w:spacing w:line="360" w:lineRule="auto"/>
      </w:pPr>
      <w:r>
        <w:t xml:space="preserve">           (2) Interno de Universidad Austral de Chile </w:t>
      </w:r>
    </w:p>
    <w:p w14:paraId="4D847EBD" w14:textId="77777777" w:rsidR="005448E1" w:rsidRDefault="005448E1">
      <w:pPr>
        <w:spacing w:line="360" w:lineRule="auto"/>
        <w:rPr>
          <w:b/>
          <w:sz w:val="28"/>
          <w:szCs w:val="28"/>
        </w:rPr>
      </w:pPr>
    </w:p>
    <w:p w14:paraId="6EFEE589" w14:textId="77777777" w:rsidR="005448E1" w:rsidRDefault="00000000">
      <w:pPr>
        <w:spacing w:line="360" w:lineRule="auto"/>
        <w:rPr>
          <w:b/>
          <w:sz w:val="28"/>
          <w:szCs w:val="28"/>
        </w:rPr>
      </w:pPr>
      <w:r>
        <w:rPr>
          <w:b/>
          <w:sz w:val="28"/>
          <w:szCs w:val="28"/>
        </w:rPr>
        <w:t xml:space="preserve">ABSTRACT </w:t>
      </w:r>
    </w:p>
    <w:p w14:paraId="43B8A08C" w14:textId="77777777" w:rsidR="005448E1" w:rsidRDefault="005448E1">
      <w:pPr>
        <w:spacing w:line="240" w:lineRule="auto"/>
        <w:jc w:val="both"/>
        <w:rPr>
          <w:b/>
          <w:highlight w:val="cyan"/>
        </w:rPr>
      </w:pPr>
    </w:p>
    <w:p w14:paraId="1CF3E45E" w14:textId="7F5E9E5C" w:rsidR="005448E1" w:rsidRDefault="00000000">
      <w:pPr>
        <w:spacing w:line="240" w:lineRule="auto"/>
        <w:jc w:val="both"/>
        <w:rPr>
          <w:rFonts w:ascii="Times New Roman" w:eastAsia="Times New Roman" w:hAnsi="Times New Roman" w:cs="Times New Roman"/>
          <w:sz w:val="24"/>
          <w:szCs w:val="24"/>
        </w:rPr>
      </w:pPr>
      <w:r>
        <w:rPr>
          <w:b/>
        </w:rPr>
        <w:t>Introducción</w:t>
      </w:r>
      <w:r>
        <w:t xml:space="preserve">: El cáncer de vejiga es uno de los tumores malignos más comunes del sistema urinario. El 75-80% corresponden a tumores no músculo invasores (CVNMI). La inmunoterapia intravesical con BCG es el principal tratamiento adyuvante para reducir su recurrencia y progresión. </w:t>
      </w:r>
      <w:r>
        <w:rPr>
          <w:b/>
        </w:rPr>
        <w:t>Metodología:</w:t>
      </w:r>
      <w:r>
        <w:t xml:space="preserve"> Evaluamos el impacto de la implementación de un protocolo local de seguimiento y administración de BCG por urólogos en un hospital público entre 2022 y 2025 con el objetivo de mejorar la adherencia y manejo de complicaciones. </w:t>
      </w:r>
      <w:r>
        <w:rPr>
          <w:b/>
        </w:rPr>
        <w:t xml:space="preserve">Resultados: </w:t>
      </w:r>
      <w:r>
        <w:t xml:space="preserve">Obtuvimos un 97% de adherencia, del total de la muestra el 90% logró un tratamiento adecuado. Un 60% manifestó eventos adversos (principalmente síntomas irritativos) de los cuales todos fueron manejados de manera oportuna y no hubo cateterismos traumáticos. La satisfacción de los pacientes con el procedimiento fue muy buena con una media de puntuación de 5 para las tres preguntas. </w:t>
      </w:r>
      <w:r>
        <w:rPr>
          <w:b/>
        </w:rPr>
        <w:t xml:space="preserve">Discusión y Conclusión: </w:t>
      </w:r>
      <w:r>
        <w:t xml:space="preserve">Por medio de nuestro estudio logramos un impacto significativo en adherencia de los pacientes comparado con la bibliografía, mejor tasa de tratamientos adecuado, sin cateterismos traumáticos y un tratamiento oportuno de los efectos adversos.  </w:t>
      </w:r>
    </w:p>
    <w:p w14:paraId="538CA4E4" w14:textId="77777777" w:rsidR="005448E1" w:rsidRDefault="005448E1">
      <w:pPr>
        <w:spacing w:line="240" w:lineRule="auto"/>
        <w:jc w:val="both"/>
      </w:pPr>
    </w:p>
    <w:p w14:paraId="559EA840" w14:textId="77777777" w:rsidR="005448E1" w:rsidRDefault="005448E1">
      <w:pPr>
        <w:spacing w:line="360" w:lineRule="auto"/>
        <w:rPr>
          <w:b/>
          <w:sz w:val="28"/>
          <w:szCs w:val="28"/>
        </w:rPr>
      </w:pPr>
    </w:p>
    <w:p w14:paraId="42A98EE5" w14:textId="77777777" w:rsidR="005448E1" w:rsidRDefault="00000000">
      <w:pPr>
        <w:spacing w:line="360" w:lineRule="auto"/>
      </w:pPr>
      <w:r>
        <w:rPr>
          <w:b/>
          <w:sz w:val="24"/>
          <w:szCs w:val="24"/>
        </w:rPr>
        <w:t xml:space="preserve">Palabras Claves: </w:t>
      </w:r>
      <w:r>
        <w:t xml:space="preserve">Cáncer vesical no músculo invasor, BCG, eventos adversos, cateterismo traumático, adherencia, monitoreo, tratamiento adecuado. </w:t>
      </w:r>
    </w:p>
    <w:p w14:paraId="7DDBB364" w14:textId="77777777" w:rsidR="005448E1" w:rsidRDefault="00000000">
      <w:pPr>
        <w:spacing w:line="360" w:lineRule="auto"/>
        <w:rPr>
          <w:b/>
          <w:sz w:val="28"/>
          <w:szCs w:val="28"/>
        </w:rPr>
      </w:pPr>
      <w:r>
        <w:br w:type="page"/>
      </w:r>
    </w:p>
    <w:p w14:paraId="707DF91D" w14:textId="77777777" w:rsidR="005448E1" w:rsidRDefault="00000000">
      <w:pPr>
        <w:spacing w:line="360" w:lineRule="auto"/>
        <w:rPr>
          <w:b/>
          <w:sz w:val="28"/>
          <w:szCs w:val="28"/>
        </w:rPr>
      </w:pPr>
      <w:r>
        <w:rPr>
          <w:b/>
          <w:sz w:val="28"/>
          <w:szCs w:val="28"/>
        </w:rPr>
        <w:lastRenderedPageBreak/>
        <w:t>INTRODUCCIÓN</w:t>
      </w:r>
    </w:p>
    <w:p w14:paraId="2BCABC0E" w14:textId="77777777" w:rsidR="005448E1" w:rsidRDefault="005448E1">
      <w:pPr>
        <w:spacing w:line="360" w:lineRule="auto"/>
        <w:jc w:val="center"/>
      </w:pPr>
    </w:p>
    <w:p w14:paraId="1B9D3BEE" w14:textId="77777777" w:rsidR="005448E1" w:rsidRDefault="00000000">
      <w:pPr>
        <w:spacing w:line="360" w:lineRule="auto"/>
        <w:jc w:val="both"/>
      </w:pPr>
      <w:r>
        <w:t xml:space="preserve">El cáncer de vejiga representa aproximadamente el 3% de todos los cánceres diagnosticados en el mundo. Es más frecuente en hombres que en mujeres (3:1) y su incidencia aumenta con la edad, siendo más común en mayores de 65 años. Entre los factores de riesgo destacan el tabaquismo, responsable del 50-65% de los casos, y la exposición a químicos industriales. Al diagnóstico, el 75-80% de los casos corresponden a tumores que no invaden el músculo </w:t>
      </w:r>
      <w:proofErr w:type="spellStart"/>
      <w:r>
        <w:t>detrusor</w:t>
      </w:r>
      <w:proofErr w:type="spellEnd"/>
      <w:r>
        <w:t xml:space="preserve"> (CVNMI), (1,2).</w:t>
      </w:r>
    </w:p>
    <w:p w14:paraId="7A10E0F0" w14:textId="77777777" w:rsidR="005448E1" w:rsidRDefault="005448E1">
      <w:pPr>
        <w:spacing w:line="360" w:lineRule="auto"/>
        <w:jc w:val="both"/>
      </w:pPr>
    </w:p>
    <w:p w14:paraId="74926254" w14:textId="77777777" w:rsidR="005448E1" w:rsidRDefault="00000000">
      <w:pPr>
        <w:spacing w:line="360" w:lineRule="auto"/>
        <w:jc w:val="both"/>
      </w:pPr>
      <w:r>
        <w:t xml:space="preserve">Los CVMNI incluyen tumores superficiales (Ta, T1) y carcinoma in situ (CIS), caracterizados por un alto riesgo de recurrencia (50-70%) y una tasa variable de progresión hacia tumores invasivos (1-25%) (3). Las </w:t>
      </w:r>
      <w:proofErr w:type="spellStart"/>
      <w:r>
        <w:t>European</w:t>
      </w:r>
      <w:proofErr w:type="spellEnd"/>
      <w:r>
        <w:t xml:space="preserve"> </w:t>
      </w:r>
      <w:proofErr w:type="spellStart"/>
      <w:r>
        <w:t>Association</w:t>
      </w:r>
      <w:proofErr w:type="spellEnd"/>
      <w:r>
        <w:t xml:space="preserve"> </w:t>
      </w:r>
      <w:proofErr w:type="spellStart"/>
      <w:r>
        <w:t>of</w:t>
      </w:r>
      <w:proofErr w:type="spellEnd"/>
      <w:r>
        <w:t xml:space="preserve"> </w:t>
      </w:r>
      <w:proofErr w:type="spellStart"/>
      <w:r>
        <w:t>Urology</w:t>
      </w:r>
      <w:proofErr w:type="spellEnd"/>
      <w:r>
        <w:t xml:space="preserve"> (EAU), nos entrega una clasificación de riesgo de recurrencia y progresión a invasión del músculo (bajo/intermedio/alto), que nos ayuda a focalizar terapias adicionales para disminuir estos riesgos. </w:t>
      </w:r>
    </w:p>
    <w:p w14:paraId="2ED31632" w14:textId="77777777" w:rsidR="005448E1" w:rsidRDefault="005448E1">
      <w:pPr>
        <w:spacing w:line="360" w:lineRule="auto"/>
        <w:jc w:val="both"/>
      </w:pPr>
    </w:p>
    <w:p w14:paraId="7307425E" w14:textId="6BEE3D55" w:rsidR="005448E1" w:rsidRDefault="00000000">
      <w:pPr>
        <w:spacing w:line="360" w:lineRule="auto"/>
        <w:jc w:val="both"/>
      </w:pPr>
      <w:r>
        <w:t>El Bacilo Calmette-Guérin (BCG) es una inmunoterapia intravesical ampliamente utilizada en CVNMI de riesgo intermedio y alto. Este tratamiento estimula una respuesta inmunitaria local en la vejiga, destruyendo células cancerígenas y disminuyendo las probabilidades de recurrencia y progresión (5) en un 30-40%, y 20-25% respectivamente, incrementando las tasas de supervivencia libre de enfermedad (6).</w:t>
      </w:r>
    </w:p>
    <w:p w14:paraId="788A17EA" w14:textId="77777777" w:rsidR="005448E1" w:rsidRDefault="005448E1">
      <w:pPr>
        <w:spacing w:line="360" w:lineRule="auto"/>
        <w:jc w:val="both"/>
      </w:pPr>
    </w:p>
    <w:p w14:paraId="64C4714E" w14:textId="77777777" w:rsidR="005448E1" w:rsidRDefault="00000000">
      <w:pPr>
        <w:spacing w:line="360" w:lineRule="auto"/>
        <w:jc w:val="both"/>
      </w:pPr>
      <w:r>
        <w:t>El protocolo estándar incluye una inducción inicial de 6 semanas consecutivas de BCG, seguido de terapias de mantenimiento durante al menos 1 año en Riesgo Intermedio y 3 para Riesgo Alto. Este enfoque, validado en múltiples estudios, es crucial para maximizar la eficacia, especialmente en pacientes de riesgo alto (7). Sin embargo, el éxito del tratamiento depende en gran medida de la adherencia del paciente al esquema completo.</w:t>
      </w:r>
    </w:p>
    <w:p w14:paraId="5F3B9C91" w14:textId="77777777" w:rsidR="005448E1" w:rsidRDefault="00000000">
      <w:pPr>
        <w:spacing w:line="360" w:lineRule="auto"/>
        <w:jc w:val="both"/>
      </w:pPr>
      <w:r>
        <w:t>Aunque la BCG es el tratamiento de elección para CVNMI, la adherencia puede verse afectada por varios factores: 1. Efectos adversos (síntomas irritativos urinarios, hematuria o fiebre), 2. Disponibilidad del medicamento, que en algunas regiones puede limitar su uso continuo (8).</w:t>
      </w:r>
    </w:p>
    <w:p w14:paraId="0CF261B6" w14:textId="77777777" w:rsidR="005448E1" w:rsidRDefault="005448E1">
      <w:pPr>
        <w:spacing w:line="360" w:lineRule="auto"/>
        <w:jc w:val="both"/>
      </w:pPr>
    </w:p>
    <w:p w14:paraId="499B4055" w14:textId="2DB3E722" w:rsidR="005448E1" w:rsidRDefault="00000000">
      <w:pPr>
        <w:spacing w:line="360" w:lineRule="auto"/>
        <w:jc w:val="both"/>
      </w:pPr>
      <w:r>
        <w:t xml:space="preserve">Estudios revelan que la tasa de adherencia al tratamiento completo oscila entre el 50-80% (9-10). Los pacientes que no completan el régimen de mantención tienen mayores probabilidades de recurrencia y progresión, lo que subraya la importancia de estrategias para mejorar la adherencia. Estas incluyen: 1.  Educación al paciente sobre los beneficios de la </w:t>
      </w:r>
      <w:r>
        <w:lastRenderedPageBreak/>
        <w:t>terapia y manejo de los efectos secundarios. 2. Monitoreo cercano y 3. Manejo efectivo de los efectos adversos (11).</w:t>
      </w:r>
    </w:p>
    <w:p w14:paraId="63FFE614" w14:textId="77777777" w:rsidR="005448E1" w:rsidRDefault="005448E1">
      <w:pPr>
        <w:spacing w:line="360" w:lineRule="auto"/>
        <w:jc w:val="both"/>
      </w:pPr>
    </w:p>
    <w:p w14:paraId="6B2A6800" w14:textId="77777777" w:rsidR="005448E1" w:rsidRDefault="00000000">
      <w:pPr>
        <w:spacing w:line="360" w:lineRule="auto"/>
      </w:pPr>
      <w:r>
        <w:t xml:space="preserve">Nuestro trabajo consiste en la implementación de un protocolo estricto de administración y monitoreo de BCG por urólogos, con el objetivo de mejorar la adherencia, el seguimiento de efectos adversos y el manejo de éstos. </w:t>
      </w:r>
    </w:p>
    <w:p w14:paraId="54E4C6ED" w14:textId="77777777" w:rsidR="005448E1" w:rsidRDefault="005448E1">
      <w:pPr>
        <w:spacing w:line="360" w:lineRule="auto"/>
      </w:pPr>
    </w:p>
    <w:p w14:paraId="67B066C2" w14:textId="77777777" w:rsidR="005448E1" w:rsidRDefault="00000000">
      <w:pPr>
        <w:spacing w:line="360" w:lineRule="auto"/>
      </w:pPr>
      <w:r>
        <w:rPr>
          <w:b/>
          <w:sz w:val="28"/>
          <w:szCs w:val="28"/>
        </w:rPr>
        <w:t>MATERIALES Y MÉTODOS</w:t>
      </w:r>
    </w:p>
    <w:p w14:paraId="7563198F" w14:textId="77777777" w:rsidR="005448E1" w:rsidRDefault="00000000">
      <w:pPr>
        <w:spacing w:line="360" w:lineRule="auto"/>
        <w:jc w:val="both"/>
      </w:pPr>
      <w:r>
        <w:t xml:space="preserve">Realizamos un registro prospectivo de pacientes con CVNMI sometidos a tratamiento con BCG en el Hospital Base San José de Osorno entre </w:t>
      </w:r>
      <w:proofErr w:type="gramStart"/>
      <w:r>
        <w:t>Marzo</w:t>
      </w:r>
      <w:proofErr w:type="gramEnd"/>
      <w:r>
        <w:t xml:space="preserve"> 2022 hasta </w:t>
      </w:r>
      <w:proofErr w:type="gramStart"/>
      <w:r>
        <w:t>Agosto</w:t>
      </w:r>
      <w:proofErr w:type="gramEnd"/>
      <w:r>
        <w:t xml:space="preserve"> 2025, utilizando un protocolo estricto de seguimiento por Urólogos del Servicio de Urología del Hospital, que a su vez fueron los encargados de administrar el tratamiento. Hubo a su vez un Urólogo encargado de semanalmente revisar el correcto seguimiento y tabulación de datos de los pacientes.  Se considerarán todos aquellos pacientes que cuenten con los datos completos en historia clínica para su seguimiento. El protocolo en extenso se detalla en el Anexo 1.</w:t>
      </w:r>
    </w:p>
    <w:p w14:paraId="75D8712A" w14:textId="77777777" w:rsidR="005448E1" w:rsidRDefault="005448E1">
      <w:pPr>
        <w:spacing w:line="360" w:lineRule="auto"/>
        <w:jc w:val="both"/>
      </w:pPr>
    </w:p>
    <w:p w14:paraId="0B7A5FF5" w14:textId="77777777" w:rsidR="005448E1" w:rsidRDefault="00000000">
      <w:pPr>
        <w:spacing w:line="360" w:lineRule="auto"/>
        <w:jc w:val="both"/>
        <w:rPr>
          <w:b/>
        </w:rPr>
      </w:pPr>
      <w:r>
        <w:rPr>
          <w:b/>
        </w:rPr>
        <w:t>CRITERIOS DE INCLUSIÓN Y EXCLUSIÓN</w:t>
      </w:r>
    </w:p>
    <w:p w14:paraId="70BFEBAE" w14:textId="77777777" w:rsidR="005448E1" w:rsidRDefault="00000000">
      <w:pPr>
        <w:spacing w:line="360" w:lineRule="auto"/>
        <w:jc w:val="both"/>
        <w:rPr>
          <w:color w:val="000000"/>
        </w:rPr>
      </w:pPr>
      <w:r>
        <w:rPr>
          <w:color w:val="000000"/>
        </w:rPr>
        <w:t xml:space="preserve">Incluimos a todos los pacientes con </w:t>
      </w:r>
      <w:r>
        <w:t>cáncer de vejiga no músculo invasor sometidos a tratamiento con BCG</w:t>
      </w:r>
      <w:r>
        <w:rPr>
          <w:color w:val="000000"/>
        </w:rPr>
        <w:t xml:space="preserve"> durante el periodo descrito que hayan completado al menos la </w:t>
      </w:r>
      <w:r>
        <w:t>fase de inducción</w:t>
      </w:r>
      <w:r>
        <w:rPr>
          <w:color w:val="000000"/>
        </w:rPr>
        <w:t xml:space="preserve">. </w:t>
      </w:r>
      <w:r>
        <w:t>Se excluyeron pacientes con ficha clínica incompleta.</w:t>
      </w:r>
    </w:p>
    <w:p w14:paraId="0DC15C76" w14:textId="77777777" w:rsidR="005448E1" w:rsidRDefault="005448E1">
      <w:pPr>
        <w:spacing w:line="360" w:lineRule="auto"/>
        <w:jc w:val="both"/>
      </w:pPr>
    </w:p>
    <w:p w14:paraId="4E04E412" w14:textId="77777777" w:rsidR="005448E1" w:rsidRDefault="00000000">
      <w:pPr>
        <w:spacing w:line="360" w:lineRule="auto"/>
        <w:jc w:val="both"/>
        <w:rPr>
          <w:b/>
        </w:rPr>
      </w:pPr>
      <w:proofErr w:type="gramStart"/>
      <w:r>
        <w:rPr>
          <w:b/>
        </w:rPr>
        <w:t>VARIABLES A ANALIZAR</w:t>
      </w:r>
      <w:proofErr w:type="gramEnd"/>
    </w:p>
    <w:p w14:paraId="2CAE7223" w14:textId="77777777" w:rsidR="005448E1" w:rsidRDefault="00000000">
      <w:pPr>
        <w:spacing w:line="360" w:lineRule="auto"/>
        <w:jc w:val="both"/>
        <w:rPr>
          <w:b/>
        </w:rPr>
      </w:pPr>
      <w:r>
        <w:t xml:space="preserve">Se analizaron las siguientes variables demográficas, oncológicas/histopatológicas y del seguimiento: edad, genero, comorbilidades (HTA, DM2, EPOC, ERC, Otros), presencia de factores de riesgo (Tabaquismo, exposición laboral, exposición a arsénico), </w:t>
      </w:r>
      <w:proofErr w:type="spellStart"/>
      <w:r>
        <w:t>caracteristicas</w:t>
      </w:r>
      <w:proofErr w:type="spellEnd"/>
      <w:r>
        <w:t xml:space="preserve"> </w:t>
      </w:r>
      <w:proofErr w:type="spellStart"/>
      <w:r>
        <w:t>oncologicas</w:t>
      </w:r>
      <w:proofErr w:type="spellEnd"/>
      <w:r>
        <w:t xml:space="preserve">: tumor único/múltiple, de </w:t>
      </w:r>
      <w:proofErr w:type="spellStart"/>
      <w:r>
        <w:t>novo</w:t>
      </w:r>
      <w:proofErr w:type="spellEnd"/>
      <w:r>
        <w:t xml:space="preserve">/recidiva, tamaño &lt;3cm / </w:t>
      </w:r>
      <w:r>
        <w:rPr>
          <w:sz w:val="20"/>
          <w:szCs w:val="20"/>
          <w:u w:val="single"/>
        </w:rPr>
        <w:t>&gt;</w:t>
      </w:r>
      <w:r>
        <w:t>3 cm, aspecto a la cistoscopia:</w:t>
      </w:r>
      <w:r>
        <w:rPr>
          <w:color w:val="6AA84F"/>
        </w:rPr>
        <w:t xml:space="preserve"> </w:t>
      </w:r>
      <w:r>
        <w:t xml:space="preserve">No músculo invasor, Músculo invasor, Otro (Irregular, lesiones planas, inflamatorias); Estadio T: Ta, T1, Cis; Alto/bajo grado histológico, Intermedio/alto riesgo según la EAU, Tratamiento adecuado/inadecuado; efectos adversos asociados al tratamiento (ITU, hematuria, síntomas irritativos, </w:t>
      </w:r>
      <w:proofErr w:type="spellStart"/>
      <w:r>
        <w:t>BCGitis</w:t>
      </w:r>
      <w:proofErr w:type="spellEnd"/>
      <w:r>
        <w:t xml:space="preserve">), proporción de tratamiento adecuado, proporción de cateterismo </w:t>
      </w:r>
      <w:proofErr w:type="spellStart"/>
      <w:r>
        <w:t>traumatico</w:t>
      </w:r>
      <w:proofErr w:type="spellEnd"/>
      <w:r>
        <w:t xml:space="preserve">, retraso en días de siguiente dosis por cateterismo </w:t>
      </w:r>
      <w:proofErr w:type="spellStart"/>
      <w:r>
        <w:t>traumatico</w:t>
      </w:r>
      <w:proofErr w:type="spellEnd"/>
      <w:r>
        <w:t xml:space="preserve"> y grado de satisfacción en encuesta de confección propia </w:t>
      </w:r>
      <w:r>
        <w:rPr>
          <w:b/>
        </w:rPr>
        <w:t>(Anexo 2).</w:t>
      </w:r>
    </w:p>
    <w:p w14:paraId="3B5D7C43" w14:textId="77777777" w:rsidR="005448E1" w:rsidRDefault="005448E1">
      <w:pPr>
        <w:spacing w:line="360" w:lineRule="auto"/>
        <w:ind w:left="720"/>
        <w:jc w:val="both"/>
      </w:pPr>
    </w:p>
    <w:p w14:paraId="0C74DE20" w14:textId="77777777" w:rsidR="005448E1" w:rsidRDefault="005448E1">
      <w:pPr>
        <w:spacing w:line="360" w:lineRule="auto"/>
        <w:jc w:val="both"/>
        <w:rPr>
          <w:b/>
          <w:u w:val="single"/>
        </w:rPr>
      </w:pPr>
    </w:p>
    <w:p w14:paraId="7A7A258C" w14:textId="77777777" w:rsidR="005448E1" w:rsidRDefault="005448E1">
      <w:pPr>
        <w:spacing w:line="360" w:lineRule="auto"/>
        <w:jc w:val="both"/>
        <w:rPr>
          <w:b/>
          <w:u w:val="single"/>
        </w:rPr>
      </w:pPr>
    </w:p>
    <w:p w14:paraId="23795EB4" w14:textId="77777777" w:rsidR="00767323" w:rsidRDefault="00767323">
      <w:pPr>
        <w:spacing w:line="360" w:lineRule="auto"/>
        <w:jc w:val="both"/>
        <w:rPr>
          <w:b/>
          <w:u w:val="single"/>
        </w:rPr>
      </w:pPr>
    </w:p>
    <w:p w14:paraId="3AFF6758" w14:textId="69B6C390" w:rsidR="005448E1" w:rsidRDefault="00000000">
      <w:pPr>
        <w:spacing w:line="360" w:lineRule="auto"/>
        <w:jc w:val="both"/>
        <w:rPr>
          <w:b/>
          <w:u w:val="single"/>
        </w:rPr>
      </w:pPr>
      <w:r>
        <w:rPr>
          <w:b/>
          <w:u w:val="single"/>
        </w:rPr>
        <w:lastRenderedPageBreak/>
        <w:t>Definiciones</w:t>
      </w:r>
    </w:p>
    <w:p w14:paraId="76FDB035" w14:textId="77777777" w:rsidR="00767323" w:rsidRDefault="00767323">
      <w:pPr>
        <w:spacing w:line="360" w:lineRule="auto"/>
        <w:jc w:val="both"/>
        <w:rPr>
          <w:b/>
          <w:u w:val="single"/>
        </w:rPr>
      </w:pPr>
    </w:p>
    <w:p w14:paraId="732C5BA1" w14:textId="77777777" w:rsidR="005448E1" w:rsidRDefault="00000000">
      <w:pPr>
        <w:spacing w:line="360" w:lineRule="auto"/>
        <w:jc w:val="both"/>
      </w:pPr>
      <w:r>
        <w:rPr>
          <w:u w:val="single"/>
        </w:rPr>
        <w:t>Cateterismo traumático</w:t>
      </w:r>
      <w:r>
        <w:t xml:space="preserve">: aquel que no permitiese el paso de la sonda hasta la vejiga y/o causara algún grado de hematuria que impidiese continuar con la administración de la BCG.  </w:t>
      </w:r>
    </w:p>
    <w:p w14:paraId="07C42654" w14:textId="77777777" w:rsidR="005448E1" w:rsidRDefault="00000000">
      <w:pPr>
        <w:spacing w:line="360" w:lineRule="auto"/>
        <w:jc w:val="both"/>
      </w:pPr>
      <w:r>
        <w:rPr>
          <w:u w:val="single"/>
        </w:rPr>
        <w:t>Tratamiento adecuado</w:t>
      </w:r>
      <w:r>
        <w:t xml:space="preserve">: completar 5 de 6 instalaciones en ciclo de inducción y 2 de 3 en ciclo de mantención. </w:t>
      </w:r>
    </w:p>
    <w:p w14:paraId="0AFF1B24" w14:textId="77777777" w:rsidR="005448E1" w:rsidRDefault="005448E1">
      <w:pPr>
        <w:spacing w:line="360" w:lineRule="auto"/>
        <w:jc w:val="both"/>
      </w:pPr>
    </w:p>
    <w:p w14:paraId="77C0F783" w14:textId="77777777" w:rsidR="005448E1" w:rsidRDefault="00000000">
      <w:pPr>
        <w:spacing w:line="360" w:lineRule="auto"/>
        <w:jc w:val="both"/>
      </w:pPr>
      <w:r>
        <w:rPr>
          <w:b/>
          <w:u w:val="single"/>
        </w:rPr>
        <w:t xml:space="preserve">Grado de </w:t>
      </w:r>
      <w:proofErr w:type="spellStart"/>
      <w:r>
        <w:rPr>
          <w:b/>
          <w:u w:val="single"/>
        </w:rPr>
        <w:t>Satisfación</w:t>
      </w:r>
      <w:proofErr w:type="spellEnd"/>
      <w:r>
        <w:rPr>
          <w:b/>
          <w:u w:val="single"/>
        </w:rPr>
        <w:t xml:space="preserve"> de los usuarios</w:t>
      </w:r>
    </w:p>
    <w:p w14:paraId="40E448B6" w14:textId="77777777" w:rsidR="005448E1" w:rsidRDefault="00000000">
      <w:pPr>
        <w:spacing w:line="360" w:lineRule="auto"/>
        <w:jc w:val="both"/>
      </w:pPr>
      <w:r>
        <w:t>Confeccionamos una encuesta simple realizada al término del ciclo de inducción (Anexo 2), otorgando un puntaje del 1 al 5 para los siguientes ítems: 1. Nivel de confort con el cateterismo, 2. Sensación de Nivel de Seguridad del procedimiento al ser realizado por Urólogo, 3. Sensación Oportunidad y acceso oportuno a consulta por efectos adversos</w:t>
      </w:r>
    </w:p>
    <w:p w14:paraId="10C64C28" w14:textId="77777777" w:rsidR="005448E1" w:rsidRDefault="00000000">
      <w:pPr>
        <w:spacing w:line="360" w:lineRule="auto"/>
        <w:jc w:val="both"/>
        <w:rPr>
          <w:b/>
        </w:rPr>
      </w:pPr>
      <w:r>
        <w:t>4. ¿Qué mejoraría del proceso de instilación?</w:t>
      </w:r>
    </w:p>
    <w:p w14:paraId="22644C70" w14:textId="77777777" w:rsidR="005448E1" w:rsidRDefault="005448E1">
      <w:pPr>
        <w:spacing w:line="360" w:lineRule="auto"/>
        <w:jc w:val="both"/>
        <w:rPr>
          <w:b/>
        </w:rPr>
      </w:pPr>
    </w:p>
    <w:p w14:paraId="7CD5171C" w14:textId="77777777" w:rsidR="005448E1" w:rsidRDefault="00000000">
      <w:pPr>
        <w:spacing w:line="360" w:lineRule="auto"/>
        <w:jc w:val="both"/>
        <w:rPr>
          <w:b/>
        </w:rPr>
      </w:pPr>
      <w:r>
        <w:rPr>
          <w:b/>
        </w:rPr>
        <w:t>ANÁLISIS ESTADÍSTICO</w:t>
      </w:r>
    </w:p>
    <w:p w14:paraId="15E496BE" w14:textId="77777777" w:rsidR="005448E1" w:rsidRDefault="00000000">
      <w:pPr>
        <w:spacing w:line="360" w:lineRule="auto"/>
        <w:jc w:val="both"/>
        <w:rPr>
          <w:b/>
          <w:sz w:val="28"/>
          <w:szCs w:val="28"/>
        </w:rPr>
      </w:pPr>
      <w:r>
        <w:t xml:space="preserve">Para el análisis descriptivo utilizamos frecuencias y porcentajes para variables categóricas, y para variables continuas y medias con desviaciones estándar o medianas con rangos </w:t>
      </w:r>
      <w:proofErr w:type="spellStart"/>
      <w:r>
        <w:t>intercuartiles</w:t>
      </w:r>
      <w:proofErr w:type="spellEnd"/>
      <w:r>
        <w:t xml:space="preserve"> según corresponda. Utilizamos el Software Stata 18 (</w:t>
      </w:r>
      <w:proofErr w:type="spellStart"/>
      <w:r>
        <w:t>StataCorp</w:t>
      </w:r>
      <w:proofErr w:type="spellEnd"/>
      <w:r>
        <w:t>, Texas, USA).</w:t>
      </w:r>
    </w:p>
    <w:p w14:paraId="7D77BD61" w14:textId="77777777" w:rsidR="005448E1" w:rsidRDefault="005448E1">
      <w:pPr>
        <w:spacing w:line="360" w:lineRule="auto"/>
        <w:jc w:val="both"/>
        <w:rPr>
          <w:b/>
          <w:sz w:val="28"/>
          <w:szCs w:val="28"/>
        </w:rPr>
      </w:pPr>
    </w:p>
    <w:p w14:paraId="15C76C5F" w14:textId="77777777" w:rsidR="00767323" w:rsidRDefault="00767323">
      <w:pPr>
        <w:spacing w:line="360" w:lineRule="auto"/>
        <w:jc w:val="both"/>
        <w:rPr>
          <w:b/>
          <w:sz w:val="28"/>
          <w:szCs w:val="28"/>
        </w:rPr>
      </w:pPr>
    </w:p>
    <w:p w14:paraId="5D354A07" w14:textId="77777777" w:rsidR="00767323" w:rsidRDefault="00767323">
      <w:pPr>
        <w:spacing w:line="360" w:lineRule="auto"/>
        <w:jc w:val="both"/>
        <w:rPr>
          <w:b/>
          <w:sz w:val="28"/>
          <w:szCs w:val="28"/>
        </w:rPr>
      </w:pPr>
    </w:p>
    <w:p w14:paraId="3D23D97F" w14:textId="77777777" w:rsidR="00767323" w:rsidRDefault="00767323">
      <w:pPr>
        <w:spacing w:line="360" w:lineRule="auto"/>
        <w:jc w:val="both"/>
        <w:rPr>
          <w:b/>
          <w:sz w:val="28"/>
          <w:szCs w:val="28"/>
        </w:rPr>
      </w:pPr>
    </w:p>
    <w:p w14:paraId="0FDAEE41" w14:textId="77777777" w:rsidR="00767323" w:rsidRDefault="00767323">
      <w:pPr>
        <w:spacing w:line="360" w:lineRule="auto"/>
        <w:jc w:val="both"/>
        <w:rPr>
          <w:b/>
          <w:sz w:val="28"/>
          <w:szCs w:val="28"/>
        </w:rPr>
      </w:pPr>
    </w:p>
    <w:p w14:paraId="70165250" w14:textId="77777777" w:rsidR="00767323" w:rsidRDefault="00767323">
      <w:pPr>
        <w:spacing w:line="360" w:lineRule="auto"/>
        <w:jc w:val="both"/>
        <w:rPr>
          <w:b/>
          <w:sz w:val="28"/>
          <w:szCs w:val="28"/>
        </w:rPr>
      </w:pPr>
    </w:p>
    <w:p w14:paraId="53984423" w14:textId="77777777" w:rsidR="00767323" w:rsidRDefault="00767323">
      <w:pPr>
        <w:spacing w:line="360" w:lineRule="auto"/>
        <w:jc w:val="both"/>
        <w:rPr>
          <w:b/>
          <w:sz w:val="28"/>
          <w:szCs w:val="28"/>
        </w:rPr>
      </w:pPr>
    </w:p>
    <w:p w14:paraId="6B87386A" w14:textId="77777777" w:rsidR="00767323" w:rsidRDefault="00767323">
      <w:pPr>
        <w:spacing w:line="360" w:lineRule="auto"/>
        <w:jc w:val="both"/>
        <w:rPr>
          <w:b/>
          <w:sz w:val="28"/>
          <w:szCs w:val="28"/>
        </w:rPr>
      </w:pPr>
    </w:p>
    <w:p w14:paraId="47E60797" w14:textId="77777777" w:rsidR="00767323" w:rsidRDefault="00767323">
      <w:pPr>
        <w:spacing w:line="360" w:lineRule="auto"/>
        <w:jc w:val="both"/>
        <w:rPr>
          <w:b/>
          <w:sz w:val="28"/>
          <w:szCs w:val="28"/>
        </w:rPr>
      </w:pPr>
    </w:p>
    <w:p w14:paraId="3BDBE49A" w14:textId="77777777" w:rsidR="00767323" w:rsidRDefault="00767323">
      <w:pPr>
        <w:spacing w:line="360" w:lineRule="auto"/>
        <w:jc w:val="both"/>
        <w:rPr>
          <w:b/>
          <w:sz w:val="28"/>
          <w:szCs w:val="28"/>
        </w:rPr>
      </w:pPr>
    </w:p>
    <w:p w14:paraId="3FCA68E8" w14:textId="77777777" w:rsidR="00767323" w:rsidRDefault="00767323">
      <w:pPr>
        <w:spacing w:line="360" w:lineRule="auto"/>
        <w:jc w:val="both"/>
        <w:rPr>
          <w:b/>
          <w:sz w:val="28"/>
          <w:szCs w:val="28"/>
        </w:rPr>
      </w:pPr>
    </w:p>
    <w:p w14:paraId="299C83E7" w14:textId="77777777" w:rsidR="00767323" w:rsidRDefault="00767323">
      <w:pPr>
        <w:spacing w:line="360" w:lineRule="auto"/>
        <w:jc w:val="both"/>
        <w:rPr>
          <w:b/>
          <w:sz w:val="28"/>
          <w:szCs w:val="28"/>
        </w:rPr>
      </w:pPr>
    </w:p>
    <w:p w14:paraId="77A9F3D3" w14:textId="77777777" w:rsidR="00767323" w:rsidRDefault="00767323">
      <w:pPr>
        <w:spacing w:line="360" w:lineRule="auto"/>
        <w:jc w:val="both"/>
        <w:rPr>
          <w:b/>
          <w:sz w:val="28"/>
          <w:szCs w:val="28"/>
        </w:rPr>
      </w:pPr>
    </w:p>
    <w:p w14:paraId="53185B08" w14:textId="77777777" w:rsidR="00767323" w:rsidRDefault="00767323">
      <w:pPr>
        <w:spacing w:line="360" w:lineRule="auto"/>
        <w:jc w:val="both"/>
        <w:rPr>
          <w:b/>
          <w:sz w:val="28"/>
          <w:szCs w:val="28"/>
        </w:rPr>
      </w:pPr>
    </w:p>
    <w:p w14:paraId="3411D4FC" w14:textId="77777777" w:rsidR="00767323" w:rsidRDefault="00767323">
      <w:pPr>
        <w:spacing w:line="360" w:lineRule="auto"/>
        <w:jc w:val="both"/>
        <w:rPr>
          <w:b/>
          <w:sz w:val="28"/>
          <w:szCs w:val="28"/>
        </w:rPr>
      </w:pPr>
    </w:p>
    <w:p w14:paraId="75A92194" w14:textId="7FF6A481" w:rsidR="005448E1" w:rsidRDefault="00000000">
      <w:pPr>
        <w:spacing w:line="360" w:lineRule="auto"/>
        <w:jc w:val="both"/>
      </w:pPr>
      <w:r>
        <w:rPr>
          <w:b/>
          <w:sz w:val="28"/>
          <w:szCs w:val="28"/>
        </w:rPr>
        <w:lastRenderedPageBreak/>
        <w:t>RESULTADOS</w:t>
      </w:r>
    </w:p>
    <w:p w14:paraId="747A27D1" w14:textId="77777777" w:rsidR="005448E1" w:rsidRDefault="00000000">
      <w:pPr>
        <w:spacing w:line="360" w:lineRule="auto"/>
        <w:jc w:val="both"/>
      </w:pPr>
      <w:r>
        <w:t xml:space="preserve">Identificamos 30 pacientes que ingresaron en el protocolo entre </w:t>
      </w:r>
      <w:proofErr w:type="gramStart"/>
      <w:r>
        <w:t>Marzo</w:t>
      </w:r>
      <w:proofErr w:type="gramEnd"/>
      <w:r>
        <w:t xml:space="preserve"> 2022 y </w:t>
      </w:r>
      <w:proofErr w:type="gramStart"/>
      <w:r>
        <w:t>Agosto</w:t>
      </w:r>
      <w:proofErr w:type="gramEnd"/>
      <w:r>
        <w:t xml:space="preserve"> 2025. </w:t>
      </w:r>
    </w:p>
    <w:p w14:paraId="0D568347" w14:textId="77777777" w:rsidR="005448E1" w:rsidRDefault="00000000">
      <w:pPr>
        <w:spacing w:line="360" w:lineRule="auto"/>
        <w:jc w:val="both"/>
      </w:pPr>
      <w:r>
        <w:t>No se excluyó ningún paciente por ficha incompleta y no tuvimos abandono de tratamiento por pérdida de controles.</w:t>
      </w:r>
    </w:p>
    <w:p w14:paraId="7C4DF3B0" w14:textId="77777777" w:rsidR="005448E1" w:rsidRDefault="00000000">
      <w:pPr>
        <w:spacing w:line="360" w:lineRule="auto"/>
        <w:jc w:val="both"/>
      </w:pPr>
      <w:r>
        <w:t>Las características demográficas y oncológicas se muestran en la Tabla 1 y 2 respectivamente.</w:t>
      </w:r>
    </w:p>
    <w:p w14:paraId="558A8FC3" w14:textId="77777777" w:rsidR="005448E1" w:rsidRDefault="005448E1">
      <w:pPr>
        <w:spacing w:line="360" w:lineRule="auto"/>
        <w:jc w:val="both"/>
      </w:pPr>
    </w:p>
    <w:tbl>
      <w:tblPr>
        <w:tblStyle w:val="a"/>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35"/>
        <w:gridCol w:w="4680"/>
      </w:tblGrid>
      <w:tr w:rsidR="005448E1" w14:paraId="5F252E1F" w14:textId="77777777">
        <w:trPr>
          <w:trHeight w:val="207"/>
        </w:trPr>
        <w:tc>
          <w:tcPr>
            <w:tcW w:w="9015" w:type="dxa"/>
            <w:gridSpan w:val="2"/>
            <w:tcBorders>
              <w:top w:val="single" w:sz="8" w:space="0" w:color="000000"/>
              <w:left w:val="single" w:sz="8" w:space="0" w:color="000000"/>
              <w:bottom w:val="single" w:sz="4" w:space="0" w:color="000000"/>
              <w:right w:val="single" w:sz="8" w:space="0" w:color="000000"/>
            </w:tcBorders>
            <w:shd w:val="clear" w:color="auto" w:fill="FFFFFF"/>
            <w:tcMar>
              <w:top w:w="100" w:type="dxa"/>
              <w:left w:w="100" w:type="dxa"/>
              <w:bottom w:w="100" w:type="dxa"/>
              <w:right w:w="100" w:type="dxa"/>
            </w:tcMar>
          </w:tcPr>
          <w:p w14:paraId="3FBA0A2D" w14:textId="77777777" w:rsidR="005448E1" w:rsidRDefault="00000000">
            <w:pPr>
              <w:spacing w:line="360" w:lineRule="auto"/>
              <w:jc w:val="both"/>
              <w:rPr>
                <w:sz w:val="20"/>
                <w:szCs w:val="20"/>
              </w:rPr>
            </w:pPr>
            <w:r>
              <w:rPr>
                <w:b/>
                <w:sz w:val="20"/>
                <w:szCs w:val="20"/>
              </w:rPr>
              <w:t xml:space="preserve">Tabla 1.  </w:t>
            </w:r>
            <w:r>
              <w:rPr>
                <w:sz w:val="20"/>
                <w:szCs w:val="20"/>
              </w:rPr>
              <w:t>Caracterización de los pacientes.</w:t>
            </w:r>
          </w:p>
        </w:tc>
      </w:tr>
      <w:tr w:rsidR="005448E1" w14:paraId="69EE6DE4" w14:textId="77777777">
        <w:trPr>
          <w:trHeight w:val="284"/>
        </w:trPr>
        <w:tc>
          <w:tcPr>
            <w:tcW w:w="43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bottom"/>
          </w:tcPr>
          <w:p w14:paraId="306749EF" w14:textId="77777777" w:rsidR="005448E1" w:rsidRDefault="00000000">
            <w:pPr>
              <w:spacing w:line="360" w:lineRule="auto"/>
              <w:jc w:val="both"/>
              <w:rPr>
                <w:b/>
                <w:sz w:val="20"/>
                <w:szCs w:val="20"/>
              </w:rPr>
            </w:pPr>
            <w:r>
              <w:rPr>
                <w:b/>
                <w:sz w:val="20"/>
                <w:szCs w:val="20"/>
              </w:rPr>
              <w:t xml:space="preserve">   Características</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58C142B" w14:textId="77777777" w:rsidR="005448E1" w:rsidRDefault="00000000">
            <w:pPr>
              <w:spacing w:line="360" w:lineRule="auto"/>
              <w:jc w:val="center"/>
              <w:rPr>
                <w:sz w:val="20"/>
                <w:szCs w:val="20"/>
              </w:rPr>
            </w:pPr>
            <w:r>
              <w:rPr>
                <w:sz w:val="20"/>
                <w:szCs w:val="20"/>
              </w:rPr>
              <w:t xml:space="preserve"> </w:t>
            </w:r>
          </w:p>
        </w:tc>
      </w:tr>
      <w:tr w:rsidR="005448E1" w14:paraId="489FDE24" w14:textId="77777777">
        <w:trPr>
          <w:trHeight w:val="87"/>
        </w:trPr>
        <w:tc>
          <w:tcPr>
            <w:tcW w:w="43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AFAAD79" w14:textId="77777777" w:rsidR="005448E1" w:rsidRDefault="00000000">
            <w:pPr>
              <w:spacing w:line="360" w:lineRule="auto"/>
              <w:jc w:val="both"/>
              <w:rPr>
                <w:sz w:val="20"/>
                <w:szCs w:val="20"/>
              </w:rPr>
            </w:pPr>
            <w:r>
              <w:rPr>
                <w:sz w:val="20"/>
                <w:szCs w:val="20"/>
              </w:rPr>
              <w:t xml:space="preserve">   Edad promedio en años (DE)</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DDDFF80" w14:textId="77777777" w:rsidR="005448E1" w:rsidRDefault="00000000">
            <w:pPr>
              <w:spacing w:line="360" w:lineRule="auto"/>
              <w:jc w:val="center"/>
              <w:rPr>
                <w:sz w:val="20"/>
                <w:szCs w:val="20"/>
              </w:rPr>
            </w:pPr>
            <w:r>
              <w:rPr>
                <w:sz w:val="20"/>
                <w:szCs w:val="20"/>
              </w:rPr>
              <w:t xml:space="preserve">67,4 (10,8) </w:t>
            </w:r>
            <w:proofErr w:type="spellStart"/>
            <w:r>
              <w:rPr>
                <w:sz w:val="20"/>
                <w:szCs w:val="20"/>
              </w:rPr>
              <w:t>mín</w:t>
            </w:r>
            <w:proofErr w:type="spellEnd"/>
            <w:r>
              <w:rPr>
                <w:sz w:val="20"/>
                <w:szCs w:val="20"/>
              </w:rPr>
              <w:t xml:space="preserve">: 26 - </w:t>
            </w:r>
            <w:proofErr w:type="spellStart"/>
            <w:r>
              <w:rPr>
                <w:sz w:val="20"/>
                <w:szCs w:val="20"/>
              </w:rPr>
              <w:t>máx</w:t>
            </w:r>
            <w:proofErr w:type="spellEnd"/>
            <w:r>
              <w:rPr>
                <w:sz w:val="20"/>
                <w:szCs w:val="20"/>
              </w:rPr>
              <w:t>: 82</w:t>
            </w:r>
          </w:p>
        </w:tc>
      </w:tr>
      <w:tr w:rsidR="005448E1" w14:paraId="763F5FAA" w14:textId="77777777">
        <w:trPr>
          <w:trHeight w:val="66"/>
        </w:trPr>
        <w:tc>
          <w:tcPr>
            <w:tcW w:w="43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819E2AC" w14:textId="77777777" w:rsidR="005448E1" w:rsidRDefault="00000000">
            <w:pPr>
              <w:spacing w:line="360" w:lineRule="auto"/>
              <w:jc w:val="both"/>
              <w:rPr>
                <w:sz w:val="20"/>
                <w:szCs w:val="20"/>
              </w:rPr>
            </w:pPr>
            <w:r>
              <w:rPr>
                <w:sz w:val="20"/>
                <w:szCs w:val="20"/>
              </w:rPr>
              <w:t xml:space="preserve">   Género, n (%)</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419A0EC" w14:textId="77777777" w:rsidR="005448E1" w:rsidRDefault="00000000">
            <w:pPr>
              <w:spacing w:line="360" w:lineRule="auto"/>
              <w:jc w:val="center"/>
              <w:rPr>
                <w:sz w:val="20"/>
                <w:szCs w:val="20"/>
              </w:rPr>
            </w:pPr>
            <w:r>
              <w:rPr>
                <w:sz w:val="20"/>
                <w:szCs w:val="20"/>
              </w:rPr>
              <w:t>Hombres: 20 (66,67%) – Mujeres: 10 (33,33%)</w:t>
            </w:r>
          </w:p>
        </w:tc>
      </w:tr>
      <w:tr w:rsidR="005448E1" w14:paraId="1110E718" w14:textId="77777777">
        <w:trPr>
          <w:trHeight w:val="20"/>
        </w:trPr>
        <w:tc>
          <w:tcPr>
            <w:tcW w:w="43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845E61B" w14:textId="77777777" w:rsidR="005448E1" w:rsidRDefault="00000000">
            <w:pPr>
              <w:spacing w:line="360" w:lineRule="auto"/>
              <w:jc w:val="both"/>
              <w:rPr>
                <w:sz w:val="20"/>
                <w:szCs w:val="20"/>
              </w:rPr>
            </w:pPr>
            <w:r>
              <w:rPr>
                <w:b/>
                <w:sz w:val="20"/>
                <w:szCs w:val="20"/>
              </w:rPr>
              <w:t xml:space="preserve"> </w:t>
            </w:r>
            <w:r>
              <w:rPr>
                <w:sz w:val="20"/>
                <w:szCs w:val="20"/>
              </w:rPr>
              <w:t xml:space="preserve">  Comorbilidades, n (%):</w:t>
            </w:r>
          </w:p>
          <w:p w14:paraId="2C99827C" w14:textId="77777777" w:rsidR="005448E1" w:rsidRDefault="00000000">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HTA</w:t>
            </w:r>
          </w:p>
          <w:p w14:paraId="182F9F73" w14:textId="77777777" w:rsidR="005448E1" w:rsidRDefault="00000000">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DM2</w:t>
            </w:r>
          </w:p>
          <w:p w14:paraId="7604AE6E" w14:textId="77777777" w:rsidR="005448E1" w:rsidRDefault="00000000">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EPOC</w:t>
            </w:r>
          </w:p>
          <w:p w14:paraId="2CA49FE2" w14:textId="77777777" w:rsidR="005448E1" w:rsidRDefault="00000000">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ERC</w:t>
            </w:r>
          </w:p>
          <w:p w14:paraId="4296668F" w14:textId="77777777" w:rsidR="005448E1" w:rsidRDefault="00000000">
            <w:pPr>
              <w:numPr>
                <w:ilvl w:val="0"/>
                <w:numId w:val="3"/>
              </w:numPr>
              <w:pBdr>
                <w:top w:val="nil"/>
                <w:left w:val="nil"/>
                <w:bottom w:val="nil"/>
                <w:right w:val="nil"/>
                <w:between w:val="nil"/>
              </w:pBdr>
              <w:spacing w:line="360" w:lineRule="auto"/>
              <w:jc w:val="both"/>
              <w:rPr>
                <w:color w:val="000000"/>
                <w:sz w:val="20"/>
                <w:szCs w:val="20"/>
              </w:rPr>
            </w:pPr>
            <w:r>
              <w:rPr>
                <w:color w:val="000000"/>
                <w:sz w:val="20"/>
                <w:szCs w:val="20"/>
              </w:rPr>
              <w:t>Otras</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EE96467" w14:textId="77777777" w:rsidR="005448E1" w:rsidRDefault="00000000">
            <w:pPr>
              <w:spacing w:line="360" w:lineRule="auto"/>
              <w:jc w:val="center"/>
              <w:rPr>
                <w:sz w:val="20"/>
                <w:szCs w:val="20"/>
              </w:rPr>
            </w:pPr>
            <w:r>
              <w:rPr>
                <w:sz w:val="20"/>
                <w:szCs w:val="20"/>
              </w:rPr>
              <w:t>25 (83,3%)</w:t>
            </w:r>
          </w:p>
          <w:p w14:paraId="7ABD7ED5" w14:textId="77777777" w:rsidR="005448E1" w:rsidRDefault="00000000">
            <w:pPr>
              <w:spacing w:line="360" w:lineRule="auto"/>
              <w:jc w:val="center"/>
              <w:rPr>
                <w:sz w:val="20"/>
                <w:szCs w:val="20"/>
              </w:rPr>
            </w:pPr>
            <w:r>
              <w:rPr>
                <w:sz w:val="20"/>
                <w:szCs w:val="20"/>
              </w:rPr>
              <w:t>17 (56,7%)</w:t>
            </w:r>
          </w:p>
          <w:p w14:paraId="52B7B327" w14:textId="77777777" w:rsidR="005448E1" w:rsidRDefault="00000000">
            <w:pPr>
              <w:spacing w:line="360" w:lineRule="auto"/>
              <w:jc w:val="center"/>
              <w:rPr>
                <w:sz w:val="20"/>
                <w:szCs w:val="20"/>
              </w:rPr>
            </w:pPr>
            <w:r>
              <w:rPr>
                <w:sz w:val="20"/>
                <w:szCs w:val="20"/>
              </w:rPr>
              <w:t>6 (20%)</w:t>
            </w:r>
          </w:p>
          <w:p w14:paraId="6C60D015" w14:textId="77777777" w:rsidR="005448E1" w:rsidRDefault="00000000">
            <w:pPr>
              <w:spacing w:line="360" w:lineRule="auto"/>
              <w:jc w:val="center"/>
              <w:rPr>
                <w:sz w:val="20"/>
                <w:szCs w:val="20"/>
              </w:rPr>
            </w:pPr>
            <w:r>
              <w:rPr>
                <w:sz w:val="20"/>
                <w:szCs w:val="20"/>
              </w:rPr>
              <w:t>4 (13,3%)</w:t>
            </w:r>
          </w:p>
          <w:p w14:paraId="591BAB91" w14:textId="77777777" w:rsidR="005448E1" w:rsidRDefault="00000000">
            <w:pPr>
              <w:spacing w:line="360" w:lineRule="auto"/>
              <w:jc w:val="center"/>
              <w:rPr>
                <w:sz w:val="20"/>
                <w:szCs w:val="20"/>
              </w:rPr>
            </w:pPr>
            <w:r>
              <w:rPr>
                <w:sz w:val="20"/>
                <w:szCs w:val="20"/>
              </w:rPr>
              <w:t>4 (13,3%)</w:t>
            </w:r>
          </w:p>
          <w:p w14:paraId="1591AFC5" w14:textId="77777777" w:rsidR="005448E1" w:rsidRDefault="00000000">
            <w:pPr>
              <w:spacing w:line="360" w:lineRule="auto"/>
              <w:jc w:val="center"/>
              <w:rPr>
                <w:sz w:val="20"/>
                <w:szCs w:val="20"/>
              </w:rPr>
            </w:pPr>
            <w:r>
              <w:rPr>
                <w:sz w:val="20"/>
                <w:szCs w:val="20"/>
              </w:rPr>
              <w:t>18 (60%</w:t>
            </w:r>
          </w:p>
        </w:tc>
      </w:tr>
      <w:tr w:rsidR="005448E1" w14:paraId="4D24D5AB" w14:textId="77777777">
        <w:trPr>
          <w:trHeight w:val="20"/>
        </w:trPr>
        <w:tc>
          <w:tcPr>
            <w:tcW w:w="433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07E44FB" w14:textId="77777777" w:rsidR="005448E1" w:rsidRDefault="00000000">
            <w:pPr>
              <w:spacing w:line="360" w:lineRule="auto"/>
              <w:jc w:val="both"/>
              <w:rPr>
                <w:sz w:val="20"/>
                <w:szCs w:val="20"/>
              </w:rPr>
            </w:pPr>
            <w:r>
              <w:rPr>
                <w:sz w:val="20"/>
                <w:szCs w:val="20"/>
              </w:rPr>
              <w:t xml:space="preserve">  Factores de riesgo, n (%):</w:t>
            </w:r>
          </w:p>
          <w:p w14:paraId="1729330B" w14:textId="77777777" w:rsidR="005448E1" w:rsidRDefault="00000000">
            <w:pPr>
              <w:spacing w:line="360" w:lineRule="auto"/>
              <w:ind w:left="720"/>
              <w:jc w:val="both"/>
              <w:rPr>
                <w:sz w:val="20"/>
                <w:szCs w:val="20"/>
              </w:rPr>
            </w:pPr>
            <w:r>
              <w:rPr>
                <w:sz w:val="20"/>
                <w:szCs w:val="20"/>
              </w:rPr>
              <w:t>Tabaquismo</w:t>
            </w:r>
          </w:p>
          <w:p w14:paraId="2297E904" w14:textId="77777777" w:rsidR="005448E1" w:rsidRDefault="00000000">
            <w:pPr>
              <w:spacing w:line="360" w:lineRule="auto"/>
              <w:ind w:left="720"/>
              <w:jc w:val="both"/>
              <w:rPr>
                <w:sz w:val="20"/>
                <w:szCs w:val="20"/>
              </w:rPr>
            </w:pPr>
            <w:r>
              <w:rPr>
                <w:sz w:val="20"/>
                <w:szCs w:val="20"/>
              </w:rPr>
              <w:t>Exposición laboral</w:t>
            </w:r>
          </w:p>
          <w:p w14:paraId="38D304E3" w14:textId="77777777" w:rsidR="005448E1" w:rsidRDefault="00000000">
            <w:pPr>
              <w:spacing w:line="360" w:lineRule="auto"/>
              <w:ind w:left="720"/>
              <w:jc w:val="both"/>
              <w:rPr>
                <w:sz w:val="20"/>
                <w:szCs w:val="20"/>
              </w:rPr>
            </w:pPr>
            <w:r>
              <w:rPr>
                <w:sz w:val="20"/>
                <w:szCs w:val="20"/>
              </w:rPr>
              <w:t>Exposición a arsénico</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26F486B" w14:textId="77777777" w:rsidR="005448E1" w:rsidRDefault="00000000">
            <w:pPr>
              <w:spacing w:line="360" w:lineRule="auto"/>
              <w:jc w:val="center"/>
              <w:rPr>
                <w:sz w:val="20"/>
                <w:szCs w:val="20"/>
              </w:rPr>
            </w:pPr>
            <w:r>
              <w:rPr>
                <w:sz w:val="20"/>
                <w:szCs w:val="20"/>
              </w:rPr>
              <w:t>21 (70%)</w:t>
            </w:r>
          </w:p>
          <w:p w14:paraId="5239DD14" w14:textId="77777777" w:rsidR="005448E1" w:rsidRDefault="00000000">
            <w:pPr>
              <w:spacing w:line="360" w:lineRule="auto"/>
              <w:jc w:val="center"/>
              <w:rPr>
                <w:sz w:val="20"/>
                <w:szCs w:val="20"/>
              </w:rPr>
            </w:pPr>
            <w:r>
              <w:rPr>
                <w:sz w:val="20"/>
                <w:szCs w:val="20"/>
              </w:rPr>
              <w:t>21 (70%)</w:t>
            </w:r>
          </w:p>
          <w:p w14:paraId="10E3288D" w14:textId="77777777" w:rsidR="005448E1" w:rsidRDefault="00000000">
            <w:pPr>
              <w:spacing w:line="360" w:lineRule="auto"/>
              <w:jc w:val="center"/>
              <w:rPr>
                <w:sz w:val="20"/>
                <w:szCs w:val="20"/>
              </w:rPr>
            </w:pPr>
            <w:r>
              <w:rPr>
                <w:sz w:val="20"/>
                <w:szCs w:val="20"/>
              </w:rPr>
              <w:t>0 (0%)</w:t>
            </w:r>
          </w:p>
          <w:p w14:paraId="75976C5B" w14:textId="77777777" w:rsidR="005448E1" w:rsidRDefault="00000000">
            <w:pPr>
              <w:spacing w:line="360" w:lineRule="auto"/>
              <w:jc w:val="center"/>
              <w:rPr>
                <w:sz w:val="20"/>
                <w:szCs w:val="20"/>
              </w:rPr>
            </w:pPr>
            <w:r>
              <w:rPr>
                <w:sz w:val="20"/>
                <w:szCs w:val="20"/>
              </w:rPr>
              <w:t>0 (0%)</w:t>
            </w:r>
          </w:p>
        </w:tc>
      </w:tr>
    </w:tbl>
    <w:p w14:paraId="1925EFA5" w14:textId="77777777" w:rsidR="005448E1" w:rsidRDefault="005448E1">
      <w:pPr>
        <w:spacing w:line="360" w:lineRule="auto"/>
        <w:jc w:val="both"/>
      </w:pPr>
    </w:p>
    <w:tbl>
      <w:tblPr>
        <w:tblStyle w:val="a0"/>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0"/>
        <w:gridCol w:w="4665"/>
      </w:tblGrid>
      <w:tr w:rsidR="005448E1" w14:paraId="16A93FD9" w14:textId="77777777">
        <w:trPr>
          <w:trHeight w:val="207"/>
        </w:trPr>
        <w:tc>
          <w:tcPr>
            <w:tcW w:w="9015" w:type="dxa"/>
            <w:gridSpan w:val="2"/>
            <w:tcBorders>
              <w:top w:val="single" w:sz="8" w:space="0" w:color="000000"/>
              <w:left w:val="single" w:sz="8" w:space="0" w:color="000000"/>
              <w:bottom w:val="single" w:sz="4" w:space="0" w:color="000000"/>
              <w:right w:val="single" w:sz="8" w:space="0" w:color="000000"/>
            </w:tcBorders>
            <w:shd w:val="clear" w:color="auto" w:fill="FFFFFF"/>
            <w:tcMar>
              <w:top w:w="100" w:type="dxa"/>
              <w:left w:w="100" w:type="dxa"/>
              <w:bottom w:w="100" w:type="dxa"/>
              <w:right w:w="100" w:type="dxa"/>
            </w:tcMar>
          </w:tcPr>
          <w:p w14:paraId="5F673D58" w14:textId="77777777" w:rsidR="005448E1" w:rsidRDefault="00000000">
            <w:pPr>
              <w:spacing w:line="360" w:lineRule="auto"/>
              <w:jc w:val="both"/>
              <w:rPr>
                <w:sz w:val="20"/>
                <w:szCs w:val="20"/>
              </w:rPr>
            </w:pPr>
            <w:r>
              <w:rPr>
                <w:b/>
                <w:sz w:val="20"/>
                <w:szCs w:val="20"/>
              </w:rPr>
              <w:t xml:space="preserve">Tabla 2.  </w:t>
            </w:r>
            <w:r>
              <w:rPr>
                <w:sz w:val="20"/>
                <w:szCs w:val="20"/>
              </w:rPr>
              <w:t>Caracterización tumorales e histopatológicas</w:t>
            </w:r>
          </w:p>
        </w:tc>
      </w:tr>
      <w:tr w:rsidR="005448E1" w14:paraId="49A87500" w14:textId="77777777">
        <w:trPr>
          <w:trHeight w:val="284"/>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vAlign w:val="bottom"/>
          </w:tcPr>
          <w:p w14:paraId="76032A5E" w14:textId="77777777" w:rsidR="005448E1" w:rsidRDefault="00000000">
            <w:pPr>
              <w:spacing w:line="360" w:lineRule="auto"/>
              <w:jc w:val="both"/>
              <w:rPr>
                <w:sz w:val="20"/>
                <w:szCs w:val="20"/>
              </w:rPr>
            </w:pPr>
            <w:r>
              <w:rPr>
                <w:b/>
                <w:sz w:val="20"/>
                <w:szCs w:val="20"/>
              </w:rPr>
              <w:t xml:space="preserve">   Características</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27D3D60" w14:textId="77777777" w:rsidR="005448E1" w:rsidRDefault="00000000">
            <w:pPr>
              <w:spacing w:line="360" w:lineRule="auto"/>
              <w:jc w:val="center"/>
              <w:rPr>
                <w:sz w:val="20"/>
                <w:szCs w:val="20"/>
              </w:rPr>
            </w:pPr>
            <w:r>
              <w:rPr>
                <w:sz w:val="20"/>
                <w:szCs w:val="20"/>
              </w:rPr>
              <w:t xml:space="preserve"> </w:t>
            </w:r>
          </w:p>
        </w:tc>
      </w:tr>
      <w:tr w:rsidR="005448E1" w14:paraId="4ED9836E" w14:textId="77777777">
        <w:trPr>
          <w:trHeight w:val="87"/>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E9D54D8" w14:textId="77777777" w:rsidR="005448E1" w:rsidRDefault="00000000">
            <w:pPr>
              <w:spacing w:line="360" w:lineRule="auto"/>
              <w:jc w:val="both"/>
              <w:rPr>
                <w:sz w:val="20"/>
                <w:szCs w:val="20"/>
              </w:rPr>
            </w:pPr>
            <w:r>
              <w:rPr>
                <w:sz w:val="20"/>
                <w:szCs w:val="20"/>
              </w:rPr>
              <w:t xml:space="preserve">   Tumor único o múltiple, n (%):</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4CCC61F" w14:textId="77777777" w:rsidR="005448E1" w:rsidRDefault="00000000">
            <w:pPr>
              <w:spacing w:line="360" w:lineRule="auto"/>
              <w:jc w:val="center"/>
              <w:rPr>
                <w:sz w:val="20"/>
                <w:szCs w:val="20"/>
              </w:rPr>
            </w:pPr>
            <w:r>
              <w:rPr>
                <w:sz w:val="20"/>
                <w:szCs w:val="20"/>
              </w:rPr>
              <w:t>Único: 14 (46,7%) – Múltiple: 16 (53,3%)</w:t>
            </w:r>
          </w:p>
        </w:tc>
      </w:tr>
      <w:tr w:rsidR="005448E1" w14:paraId="38EC0988" w14:textId="77777777">
        <w:trPr>
          <w:trHeight w:val="66"/>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993E995" w14:textId="77777777" w:rsidR="005448E1" w:rsidRDefault="00000000">
            <w:pPr>
              <w:spacing w:line="360" w:lineRule="auto"/>
              <w:jc w:val="both"/>
              <w:rPr>
                <w:sz w:val="20"/>
                <w:szCs w:val="20"/>
              </w:rPr>
            </w:pPr>
            <w:r>
              <w:rPr>
                <w:sz w:val="20"/>
                <w:szCs w:val="20"/>
              </w:rPr>
              <w:t xml:space="preserve">   De </w:t>
            </w:r>
            <w:proofErr w:type="spellStart"/>
            <w:r>
              <w:rPr>
                <w:sz w:val="20"/>
                <w:szCs w:val="20"/>
              </w:rPr>
              <w:t>novo</w:t>
            </w:r>
            <w:proofErr w:type="spellEnd"/>
            <w:r>
              <w:rPr>
                <w:sz w:val="20"/>
                <w:szCs w:val="20"/>
              </w:rPr>
              <w:t xml:space="preserve"> vs recurrencia, n (%):</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A74ABB6" w14:textId="77777777" w:rsidR="005448E1" w:rsidRDefault="00000000">
            <w:pPr>
              <w:spacing w:line="360" w:lineRule="auto"/>
              <w:jc w:val="center"/>
              <w:rPr>
                <w:sz w:val="20"/>
                <w:szCs w:val="20"/>
              </w:rPr>
            </w:pPr>
            <w:r>
              <w:rPr>
                <w:sz w:val="20"/>
                <w:szCs w:val="20"/>
              </w:rPr>
              <w:t xml:space="preserve">De </w:t>
            </w:r>
            <w:proofErr w:type="spellStart"/>
            <w:r>
              <w:rPr>
                <w:sz w:val="20"/>
                <w:szCs w:val="20"/>
              </w:rPr>
              <w:t>novo</w:t>
            </w:r>
            <w:proofErr w:type="spellEnd"/>
            <w:r>
              <w:rPr>
                <w:sz w:val="20"/>
                <w:szCs w:val="20"/>
              </w:rPr>
              <w:t>: 24 (80%) - Recurrencia: 6 (20%)</w:t>
            </w:r>
          </w:p>
        </w:tc>
      </w:tr>
      <w:tr w:rsidR="005448E1" w14:paraId="345D7DD0" w14:textId="77777777">
        <w:trPr>
          <w:trHeight w:val="20"/>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2368AE2" w14:textId="77777777" w:rsidR="005448E1" w:rsidRDefault="00000000">
            <w:pPr>
              <w:spacing w:line="360" w:lineRule="auto"/>
              <w:jc w:val="both"/>
              <w:rPr>
                <w:sz w:val="20"/>
                <w:szCs w:val="20"/>
              </w:rPr>
            </w:pPr>
            <w:r>
              <w:rPr>
                <w:sz w:val="20"/>
                <w:szCs w:val="20"/>
              </w:rPr>
              <w:t xml:space="preserve">   Tamaño, n (%):</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17AF033" w14:textId="77777777" w:rsidR="005448E1" w:rsidRDefault="00000000">
            <w:pPr>
              <w:spacing w:line="360" w:lineRule="auto"/>
              <w:jc w:val="center"/>
              <w:rPr>
                <w:sz w:val="20"/>
                <w:szCs w:val="20"/>
              </w:rPr>
            </w:pPr>
            <w:r>
              <w:rPr>
                <w:sz w:val="20"/>
                <w:szCs w:val="20"/>
              </w:rPr>
              <w:t>&lt; 3 cm: 15 (50</w:t>
            </w:r>
            <w:proofErr w:type="gramStart"/>
            <w:r>
              <w:rPr>
                <w:sz w:val="20"/>
                <w:szCs w:val="20"/>
              </w:rPr>
              <w:t xml:space="preserve">%)   </w:t>
            </w:r>
            <w:proofErr w:type="gramEnd"/>
            <w:r>
              <w:rPr>
                <w:sz w:val="20"/>
                <w:szCs w:val="20"/>
                <w:u w:val="single"/>
              </w:rPr>
              <w:t>&gt;</w:t>
            </w:r>
            <w:r>
              <w:rPr>
                <w:sz w:val="20"/>
                <w:szCs w:val="20"/>
              </w:rPr>
              <w:t xml:space="preserve"> a 3cm:(50%)  </w:t>
            </w:r>
          </w:p>
        </w:tc>
      </w:tr>
      <w:tr w:rsidR="005448E1" w14:paraId="2032F0CA" w14:textId="77777777">
        <w:trPr>
          <w:trHeight w:val="459"/>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1B071A1" w14:textId="77777777" w:rsidR="005448E1" w:rsidRDefault="00000000">
            <w:pPr>
              <w:spacing w:line="360" w:lineRule="auto"/>
              <w:jc w:val="both"/>
              <w:rPr>
                <w:b/>
                <w:sz w:val="20"/>
                <w:szCs w:val="20"/>
              </w:rPr>
            </w:pPr>
            <w:r>
              <w:rPr>
                <w:b/>
                <w:sz w:val="20"/>
                <w:szCs w:val="20"/>
              </w:rPr>
              <w:t xml:space="preserve">   Aspecto a la cistoscopia, n (%):</w:t>
            </w:r>
          </w:p>
          <w:p w14:paraId="6903D187" w14:textId="77777777" w:rsidR="005448E1" w:rsidRDefault="00000000">
            <w:pPr>
              <w:numPr>
                <w:ilvl w:val="0"/>
                <w:numId w:val="4"/>
              </w:numPr>
              <w:spacing w:line="360" w:lineRule="auto"/>
              <w:jc w:val="both"/>
              <w:rPr>
                <w:sz w:val="20"/>
                <w:szCs w:val="20"/>
              </w:rPr>
            </w:pPr>
            <w:r>
              <w:rPr>
                <w:sz w:val="20"/>
                <w:szCs w:val="20"/>
              </w:rPr>
              <w:t>No músculo invasor</w:t>
            </w:r>
          </w:p>
          <w:p w14:paraId="528A100C" w14:textId="77777777" w:rsidR="005448E1" w:rsidRDefault="00000000">
            <w:pPr>
              <w:numPr>
                <w:ilvl w:val="0"/>
                <w:numId w:val="4"/>
              </w:numPr>
              <w:spacing w:line="360" w:lineRule="auto"/>
              <w:jc w:val="both"/>
              <w:rPr>
                <w:sz w:val="20"/>
                <w:szCs w:val="20"/>
              </w:rPr>
            </w:pPr>
            <w:r>
              <w:rPr>
                <w:sz w:val="20"/>
                <w:szCs w:val="20"/>
              </w:rPr>
              <w:t>Músculo invasor</w:t>
            </w:r>
          </w:p>
          <w:p w14:paraId="15966B56" w14:textId="77777777" w:rsidR="005448E1" w:rsidRDefault="00000000">
            <w:pPr>
              <w:numPr>
                <w:ilvl w:val="0"/>
                <w:numId w:val="4"/>
              </w:numPr>
              <w:spacing w:line="360" w:lineRule="auto"/>
              <w:jc w:val="both"/>
              <w:rPr>
                <w:sz w:val="20"/>
                <w:szCs w:val="20"/>
              </w:rPr>
            </w:pPr>
            <w:r>
              <w:rPr>
                <w:sz w:val="20"/>
                <w:szCs w:val="20"/>
              </w:rPr>
              <w:lastRenderedPageBreak/>
              <w:t>Otro (Irregular, lesiones planas, inflamatorias)</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6A086F4" w14:textId="77777777" w:rsidR="005448E1" w:rsidRDefault="005448E1">
            <w:pPr>
              <w:spacing w:line="360" w:lineRule="auto"/>
              <w:jc w:val="center"/>
              <w:rPr>
                <w:sz w:val="20"/>
                <w:szCs w:val="20"/>
              </w:rPr>
            </w:pPr>
          </w:p>
          <w:p w14:paraId="176607C6" w14:textId="77777777" w:rsidR="005448E1" w:rsidRDefault="00000000">
            <w:pPr>
              <w:spacing w:line="360" w:lineRule="auto"/>
              <w:jc w:val="center"/>
              <w:rPr>
                <w:sz w:val="20"/>
                <w:szCs w:val="20"/>
              </w:rPr>
            </w:pPr>
            <w:r>
              <w:rPr>
                <w:sz w:val="20"/>
                <w:szCs w:val="20"/>
              </w:rPr>
              <w:t>24 (80%)</w:t>
            </w:r>
          </w:p>
          <w:p w14:paraId="4044F532" w14:textId="77777777" w:rsidR="005448E1" w:rsidRDefault="00000000">
            <w:pPr>
              <w:spacing w:line="360" w:lineRule="auto"/>
              <w:jc w:val="center"/>
              <w:rPr>
                <w:sz w:val="20"/>
                <w:szCs w:val="20"/>
              </w:rPr>
            </w:pPr>
            <w:r>
              <w:rPr>
                <w:sz w:val="20"/>
                <w:szCs w:val="20"/>
              </w:rPr>
              <w:t>4 (13,3%)</w:t>
            </w:r>
          </w:p>
          <w:p w14:paraId="307F56D5" w14:textId="77777777" w:rsidR="005448E1" w:rsidRDefault="00000000">
            <w:pPr>
              <w:spacing w:line="360" w:lineRule="auto"/>
              <w:jc w:val="center"/>
              <w:rPr>
                <w:sz w:val="20"/>
                <w:szCs w:val="20"/>
              </w:rPr>
            </w:pPr>
            <w:r>
              <w:rPr>
                <w:sz w:val="20"/>
                <w:szCs w:val="20"/>
              </w:rPr>
              <w:t>2 (6,7%)</w:t>
            </w:r>
          </w:p>
        </w:tc>
      </w:tr>
      <w:tr w:rsidR="005448E1" w14:paraId="0AFF0E8E" w14:textId="77777777">
        <w:trPr>
          <w:trHeight w:val="27"/>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D4C2CD4" w14:textId="77777777" w:rsidR="005448E1" w:rsidRDefault="00000000">
            <w:pPr>
              <w:spacing w:line="360" w:lineRule="auto"/>
              <w:rPr>
                <w:sz w:val="20"/>
                <w:szCs w:val="20"/>
              </w:rPr>
            </w:pPr>
            <w:r>
              <w:rPr>
                <w:b/>
                <w:sz w:val="20"/>
                <w:szCs w:val="20"/>
              </w:rPr>
              <w:lastRenderedPageBreak/>
              <w:t xml:space="preserve">   Estadio T, n (%)</w:t>
            </w:r>
          </w:p>
          <w:p w14:paraId="4E60AABD" w14:textId="77777777" w:rsidR="005448E1" w:rsidRDefault="00000000">
            <w:pPr>
              <w:pBdr>
                <w:top w:val="nil"/>
                <w:left w:val="nil"/>
                <w:bottom w:val="nil"/>
                <w:right w:val="nil"/>
                <w:between w:val="nil"/>
              </w:pBdr>
              <w:spacing w:line="360" w:lineRule="auto"/>
              <w:ind w:left="720"/>
              <w:jc w:val="both"/>
              <w:rPr>
                <w:sz w:val="20"/>
                <w:szCs w:val="20"/>
              </w:rPr>
            </w:pPr>
            <w:r>
              <w:rPr>
                <w:sz w:val="20"/>
                <w:szCs w:val="20"/>
              </w:rPr>
              <w:t>Ta</w:t>
            </w:r>
          </w:p>
          <w:p w14:paraId="6D82F9D0" w14:textId="77777777" w:rsidR="005448E1" w:rsidRDefault="00000000">
            <w:pPr>
              <w:spacing w:line="360" w:lineRule="auto"/>
              <w:ind w:left="720"/>
              <w:jc w:val="both"/>
              <w:rPr>
                <w:sz w:val="20"/>
                <w:szCs w:val="20"/>
              </w:rPr>
            </w:pPr>
            <w:r>
              <w:rPr>
                <w:sz w:val="20"/>
                <w:szCs w:val="20"/>
              </w:rPr>
              <w:t>T1</w:t>
            </w:r>
          </w:p>
          <w:p w14:paraId="54B682A5" w14:textId="77777777" w:rsidR="005448E1" w:rsidRDefault="00000000">
            <w:pPr>
              <w:spacing w:line="360" w:lineRule="auto"/>
              <w:ind w:left="720"/>
              <w:jc w:val="both"/>
              <w:rPr>
                <w:sz w:val="20"/>
                <w:szCs w:val="20"/>
              </w:rPr>
            </w:pPr>
            <w:r>
              <w:rPr>
                <w:sz w:val="20"/>
                <w:szCs w:val="20"/>
              </w:rPr>
              <w:t>Cis</w:t>
            </w:r>
          </w:p>
          <w:p w14:paraId="78BEC4F0" w14:textId="77777777" w:rsidR="005448E1" w:rsidRDefault="00000000">
            <w:pPr>
              <w:spacing w:line="360" w:lineRule="auto"/>
              <w:ind w:left="720"/>
              <w:jc w:val="both"/>
              <w:rPr>
                <w:sz w:val="20"/>
                <w:szCs w:val="20"/>
              </w:rPr>
            </w:pPr>
            <w:r>
              <w:rPr>
                <w:sz w:val="20"/>
                <w:szCs w:val="20"/>
              </w:rPr>
              <w:t>Ta y Cis</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49961297" w14:textId="77777777" w:rsidR="005448E1" w:rsidRDefault="005448E1">
            <w:pPr>
              <w:spacing w:line="360" w:lineRule="auto"/>
              <w:jc w:val="center"/>
              <w:rPr>
                <w:sz w:val="20"/>
                <w:szCs w:val="20"/>
              </w:rPr>
            </w:pPr>
          </w:p>
          <w:p w14:paraId="1D53F7CF" w14:textId="77777777" w:rsidR="005448E1" w:rsidRDefault="00000000">
            <w:pPr>
              <w:spacing w:line="360" w:lineRule="auto"/>
              <w:jc w:val="center"/>
              <w:rPr>
                <w:sz w:val="20"/>
                <w:szCs w:val="20"/>
              </w:rPr>
            </w:pPr>
            <w:r>
              <w:rPr>
                <w:sz w:val="20"/>
                <w:szCs w:val="20"/>
              </w:rPr>
              <w:t>3 (10%)</w:t>
            </w:r>
          </w:p>
          <w:p w14:paraId="39568895" w14:textId="77777777" w:rsidR="005448E1" w:rsidRDefault="00000000">
            <w:pPr>
              <w:spacing w:line="360" w:lineRule="auto"/>
              <w:jc w:val="center"/>
              <w:rPr>
                <w:sz w:val="20"/>
                <w:szCs w:val="20"/>
              </w:rPr>
            </w:pPr>
            <w:r>
              <w:rPr>
                <w:sz w:val="20"/>
                <w:szCs w:val="20"/>
              </w:rPr>
              <w:t>23 (76,7%)</w:t>
            </w:r>
          </w:p>
          <w:p w14:paraId="47C28170" w14:textId="77777777" w:rsidR="005448E1" w:rsidRDefault="00000000">
            <w:pPr>
              <w:spacing w:line="360" w:lineRule="auto"/>
              <w:jc w:val="center"/>
              <w:rPr>
                <w:sz w:val="20"/>
                <w:szCs w:val="20"/>
              </w:rPr>
            </w:pPr>
            <w:r>
              <w:rPr>
                <w:sz w:val="20"/>
                <w:szCs w:val="20"/>
              </w:rPr>
              <w:t>2 (6,7%))</w:t>
            </w:r>
          </w:p>
          <w:p w14:paraId="0BEC8034" w14:textId="77777777" w:rsidR="005448E1" w:rsidRDefault="00000000">
            <w:pPr>
              <w:spacing w:line="360" w:lineRule="auto"/>
              <w:jc w:val="center"/>
              <w:rPr>
                <w:sz w:val="20"/>
                <w:szCs w:val="20"/>
              </w:rPr>
            </w:pPr>
            <w:r>
              <w:rPr>
                <w:sz w:val="20"/>
                <w:szCs w:val="20"/>
              </w:rPr>
              <w:t>2 (6,7%)</w:t>
            </w:r>
          </w:p>
        </w:tc>
      </w:tr>
      <w:tr w:rsidR="005448E1" w14:paraId="1BBF4F50" w14:textId="77777777">
        <w:trPr>
          <w:trHeight w:val="20"/>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5DE11E2" w14:textId="77777777" w:rsidR="005448E1" w:rsidRDefault="00000000">
            <w:pPr>
              <w:spacing w:line="360" w:lineRule="auto"/>
              <w:jc w:val="both"/>
              <w:rPr>
                <w:b/>
                <w:sz w:val="20"/>
                <w:szCs w:val="20"/>
              </w:rPr>
            </w:pPr>
            <w:r>
              <w:rPr>
                <w:b/>
                <w:sz w:val="20"/>
                <w:szCs w:val="20"/>
              </w:rPr>
              <w:t>Grado, n (%)</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361030F" w14:textId="77777777" w:rsidR="005448E1" w:rsidRDefault="005448E1">
            <w:pPr>
              <w:spacing w:line="360" w:lineRule="auto"/>
              <w:jc w:val="center"/>
              <w:rPr>
                <w:sz w:val="20"/>
                <w:szCs w:val="20"/>
              </w:rPr>
            </w:pPr>
          </w:p>
        </w:tc>
      </w:tr>
      <w:tr w:rsidR="005448E1" w14:paraId="590AB0FD" w14:textId="77777777">
        <w:trPr>
          <w:trHeight w:val="20"/>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5526304" w14:textId="77777777" w:rsidR="005448E1" w:rsidRDefault="00000000">
            <w:pPr>
              <w:pBdr>
                <w:top w:val="nil"/>
                <w:left w:val="nil"/>
                <w:bottom w:val="nil"/>
                <w:right w:val="nil"/>
                <w:between w:val="nil"/>
              </w:pBdr>
              <w:spacing w:line="360" w:lineRule="auto"/>
              <w:ind w:left="720"/>
              <w:jc w:val="both"/>
              <w:rPr>
                <w:color w:val="000000"/>
                <w:sz w:val="20"/>
                <w:szCs w:val="20"/>
              </w:rPr>
            </w:pPr>
            <w:r>
              <w:rPr>
                <w:color w:val="000000"/>
                <w:sz w:val="20"/>
                <w:szCs w:val="20"/>
              </w:rPr>
              <w:t>Alto Grado</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4AD57B7" w14:textId="77777777" w:rsidR="005448E1" w:rsidRDefault="00000000">
            <w:pPr>
              <w:spacing w:line="360" w:lineRule="auto"/>
              <w:jc w:val="center"/>
              <w:rPr>
                <w:sz w:val="20"/>
                <w:szCs w:val="20"/>
              </w:rPr>
            </w:pPr>
            <w:r>
              <w:rPr>
                <w:sz w:val="20"/>
                <w:szCs w:val="20"/>
              </w:rPr>
              <w:t>25 (83,3%)</w:t>
            </w:r>
          </w:p>
        </w:tc>
      </w:tr>
      <w:tr w:rsidR="005448E1" w14:paraId="52BB9F6B" w14:textId="77777777">
        <w:trPr>
          <w:trHeight w:val="20"/>
        </w:trPr>
        <w:tc>
          <w:tcPr>
            <w:tcW w:w="43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A34CBE1" w14:textId="77777777" w:rsidR="005448E1" w:rsidRDefault="00000000">
            <w:pPr>
              <w:pBdr>
                <w:top w:val="nil"/>
                <w:left w:val="nil"/>
                <w:bottom w:val="nil"/>
                <w:right w:val="nil"/>
                <w:between w:val="nil"/>
              </w:pBdr>
              <w:spacing w:line="360" w:lineRule="auto"/>
              <w:ind w:left="720"/>
              <w:jc w:val="both"/>
              <w:rPr>
                <w:color w:val="000000"/>
                <w:sz w:val="20"/>
                <w:szCs w:val="20"/>
              </w:rPr>
            </w:pPr>
            <w:r>
              <w:rPr>
                <w:color w:val="000000"/>
                <w:sz w:val="20"/>
                <w:szCs w:val="20"/>
              </w:rPr>
              <w:t>Bajo Grado</w:t>
            </w:r>
          </w:p>
        </w:tc>
        <w:tc>
          <w:tcPr>
            <w:tcW w:w="46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67E34C8" w14:textId="77777777" w:rsidR="005448E1" w:rsidRDefault="00000000">
            <w:pPr>
              <w:spacing w:line="360" w:lineRule="auto"/>
              <w:jc w:val="center"/>
              <w:rPr>
                <w:sz w:val="20"/>
                <w:szCs w:val="20"/>
              </w:rPr>
            </w:pPr>
            <w:r>
              <w:rPr>
                <w:sz w:val="20"/>
                <w:szCs w:val="20"/>
              </w:rPr>
              <w:t>5 (16,7%)</w:t>
            </w:r>
          </w:p>
        </w:tc>
      </w:tr>
    </w:tbl>
    <w:p w14:paraId="02DF9FA5" w14:textId="77777777" w:rsidR="005448E1" w:rsidRDefault="005448E1">
      <w:pPr>
        <w:spacing w:line="360" w:lineRule="auto"/>
        <w:jc w:val="both"/>
      </w:pPr>
    </w:p>
    <w:p w14:paraId="57FC3343" w14:textId="77777777" w:rsidR="005448E1" w:rsidRDefault="00000000">
      <w:pPr>
        <w:spacing w:line="360" w:lineRule="auto"/>
        <w:jc w:val="both"/>
      </w:pPr>
      <w:r>
        <w:t>En cuanto a la clasificación de riesgo EAU, obtuvimos una proporción elevada de alto riesgo, en el 80% de la muestra (24 pacientes), que se muestra en la Figura 1.</w:t>
      </w:r>
    </w:p>
    <w:p w14:paraId="014785A3" w14:textId="77777777" w:rsidR="005448E1" w:rsidRDefault="00000000">
      <w:pPr>
        <w:spacing w:line="360" w:lineRule="auto"/>
        <w:jc w:val="center"/>
      </w:pPr>
      <w:r>
        <w:rPr>
          <w:noProof/>
        </w:rPr>
        <w:drawing>
          <wp:inline distT="114300" distB="114300" distL="114300" distR="114300" wp14:anchorId="3E315553" wp14:editId="05A321B4">
            <wp:extent cx="4469545" cy="28130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469545" cy="2813000"/>
                    </a:xfrm>
                    <a:prstGeom prst="rect">
                      <a:avLst/>
                    </a:prstGeom>
                    <a:ln/>
                  </pic:spPr>
                </pic:pic>
              </a:graphicData>
            </a:graphic>
          </wp:inline>
        </w:drawing>
      </w:r>
    </w:p>
    <w:p w14:paraId="2FDE5EBC" w14:textId="77777777" w:rsidR="005448E1" w:rsidRDefault="00000000">
      <w:pPr>
        <w:spacing w:line="360" w:lineRule="auto"/>
        <w:jc w:val="center"/>
      </w:pPr>
      <w:r>
        <w:rPr>
          <w:b/>
        </w:rPr>
        <w:t>Figura 1. Distribución de riesgo según EAU</w:t>
      </w:r>
    </w:p>
    <w:p w14:paraId="00E525B3" w14:textId="77777777" w:rsidR="005448E1" w:rsidRDefault="005448E1">
      <w:pPr>
        <w:spacing w:line="360" w:lineRule="auto"/>
        <w:jc w:val="center"/>
      </w:pPr>
    </w:p>
    <w:p w14:paraId="71E3E302" w14:textId="77777777" w:rsidR="005448E1" w:rsidRDefault="00000000">
      <w:pPr>
        <w:spacing w:line="360" w:lineRule="auto"/>
        <w:jc w:val="both"/>
      </w:pPr>
      <w:proofErr w:type="gramStart"/>
      <w:r>
        <w:t>La etapa actual de los pacientes al término del estudio se muestran</w:t>
      </w:r>
      <w:proofErr w:type="gramEnd"/>
      <w:r>
        <w:t xml:space="preserve"> en la Figura 2. 6 pacientes (20%) completaron el tratamiento; 5 por 3 años y uno por 1 año según riesgo. 7 pacientes (23%) abandonaron, 4 fueron por progresión, 1 por desarrollo de un segundo primario (Cáncer de Próstata Metastásico) y 3 por efectos adversos. Actualmente 17 pacientes (57%) se encuentran en etapa mantención.</w:t>
      </w:r>
    </w:p>
    <w:p w14:paraId="4E88B4E8" w14:textId="77777777" w:rsidR="005448E1" w:rsidRDefault="005448E1">
      <w:pPr>
        <w:spacing w:line="360" w:lineRule="auto"/>
      </w:pPr>
    </w:p>
    <w:p w14:paraId="6D910890" w14:textId="77777777" w:rsidR="005448E1" w:rsidRDefault="00000000">
      <w:pPr>
        <w:spacing w:line="360" w:lineRule="auto"/>
      </w:pPr>
      <w:r>
        <w:rPr>
          <w:noProof/>
        </w:rPr>
        <w:lastRenderedPageBreak/>
        <w:drawing>
          <wp:inline distT="114300" distB="114300" distL="114300" distR="114300" wp14:anchorId="5E50B3FB" wp14:editId="591589DC">
            <wp:extent cx="5731200" cy="27686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731200" cy="2768600"/>
                    </a:xfrm>
                    <a:prstGeom prst="rect">
                      <a:avLst/>
                    </a:prstGeom>
                    <a:ln/>
                  </pic:spPr>
                </pic:pic>
              </a:graphicData>
            </a:graphic>
          </wp:inline>
        </w:drawing>
      </w:r>
    </w:p>
    <w:p w14:paraId="700265CF" w14:textId="77777777" w:rsidR="005448E1" w:rsidRDefault="005448E1">
      <w:pPr>
        <w:spacing w:line="360" w:lineRule="auto"/>
      </w:pPr>
    </w:p>
    <w:p w14:paraId="2708ACD0" w14:textId="77777777" w:rsidR="005448E1" w:rsidRDefault="00000000">
      <w:pPr>
        <w:spacing w:line="360" w:lineRule="auto"/>
        <w:jc w:val="center"/>
      </w:pPr>
      <w:r>
        <w:rPr>
          <w:b/>
        </w:rPr>
        <w:t>Figura 2. Etapa actual de los pacientes a 3 años de seguimiento</w:t>
      </w:r>
    </w:p>
    <w:p w14:paraId="12DA6FB9" w14:textId="77777777" w:rsidR="005448E1" w:rsidRDefault="005448E1">
      <w:pPr>
        <w:spacing w:line="360" w:lineRule="auto"/>
        <w:jc w:val="both"/>
      </w:pPr>
    </w:p>
    <w:p w14:paraId="60FCBC9C" w14:textId="2B24A595" w:rsidR="005448E1" w:rsidRDefault="00000000">
      <w:pPr>
        <w:spacing w:line="360" w:lineRule="auto"/>
        <w:jc w:val="both"/>
        <w:rPr>
          <w:b/>
          <w:u w:val="single"/>
        </w:rPr>
      </w:pPr>
      <w:r>
        <w:t xml:space="preserve">En cuanto al subanálisis de los pacientes que progresaron (N= 4), 2 </w:t>
      </w:r>
      <w:proofErr w:type="gramStart"/>
      <w:r>
        <w:t>pacientes  recibieron</w:t>
      </w:r>
      <w:proofErr w:type="gramEnd"/>
      <w:r>
        <w:t xml:space="preserve"> tratamiento inadecuado progresando al completar el tercer ciclo de inducción, ambos de muy alto riesgo. Los otros 2, tuvieron Falla de BCG, dado que progresaron al término del primer ciclo de mantención (12). </w:t>
      </w:r>
    </w:p>
    <w:p w14:paraId="5ADC938C" w14:textId="77777777" w:rsidR="005448E1" w:rsidRDefault="005448E1">
      <w:pPr>
        <w:spacing w:line="360" w:lineRule="auto"/>
        <w:jc w:val="both"/>
      </w:pPr>
    </w:p>
    <w:p w14:paraId="5B154AC2" w14:textId="77777777" w:rsidR="005448E1" w:rsidRDefault="00000000">
      <w:pPr>
        <w:spacing w:line="360" w:lineRule="auto"/>
        <w:jc w:val="both"/>
      </w:pPr>
      <w:r>
        <w:t xml:space="preserve">Del total de la muestra, 27 pacientes (90%) lograron un tratamiento adecuado. Las causas del tratamiento inadecuado de los 3 pacientes ocurrieron durante la fase de inducción y fueron progresión, pérdida de controles con posterior progresión y falta de stock.   </w:t>
      </w:r>
    </w:p>
    <w:p w14:paraId="5AE1D9B4" w14:textId="77777777" w:rsidR="005448E1" w:rsidRDefault="005448E1">
      <w:pPr>
        <w:spacing w:line="360" w:lineRule="auto"/>
        <w:jc w:val="both"/>
      </w:pPr>
    </w:p>
    <w:tbl>
      <w:tblPr>
        <w:tblStyle w:val="a1"/>
        <w:tblW w:w="902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01"/>
        <w:gridCol w:w="4926"/>
      </w:tblGrid>
      <w:tr w:rsidR="005448E1" w14:paraId="63AF36DA" w14:textId="77777777">
        <w:trPr>
          <w:trHeight w:val="20"/>
        </w:trPr>
        <w:tc>
          <w:tcPr>
            <w:tcW w:w="9027"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569B771" w14:textId="77777777" w:rsidR="005448E1" w:rsidRDefault="00000000">
            <w:pPr>
              <w:spacing w:line="360" w:lineRule="auto"/>
              <w:rPr>
                <w:sz w:val="20"/>
                <w:szCs w:val="20"/>
              </w:rPr>
            </w:pPr>
            <w:r>
              <w:rPr>
                <w:b/>
                <w:sz w:val="20"/>
                <w:szCs w:val="20"/>
              </w:rPr>
              <w:t>Tabla 3.  Tratamiento Adecuado, n (%)</w:t>
            </w:r>
          </w:p>
        </w:tc>
      </w:tr>
      <w:tr w:rsidR="005448E1" w14:paraId="1CB12BC6" w14:textId="77777777">
        <w:trPr>
          <w:trHeight w:val="20"/>
        </w:trPr>
        <w:tc>
          <w:tcPr>
            <w:tcW w:w="41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3D82A00" w14:textId="77777777" w:rsidR="005448E1" w:rsidRDefault="00000000">
            <w:pPr>
              <w:spacing w:line="360" w:lineRule="auto"/>
              <w:jc w:val="both"/>
              <w:rPr>
                <w:b/>
                <w:sz w:val="20"/>
                <w:szCs w:val="20"/>
              </w:rPr>
            </w:pPr>
            <w:r>
              <w:rPr>
                <w:sz w:val="20"/>
                <w:szCs w:val="20"/>
              </w:rPr>
              <w:t>Tratamiento adecuado</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6D035EA" w14:textId="77777777" w:rsidR="005448E1" w:rsidRDefault="00000000">
            <w:pPr>
              <w:spacing w:line="360" w:lineRule="auto"/>
              <w:jc w:val="center"/>
              <w:rPr>
                <w:sz w:val="20"/>
                <w:szCs w:val="20"/>
              </w:rPr>
            </w:pPr>
            <w:r>
              <w:rPr>
                <w:sz w:val="20"/>
                <w:szCs w:val="20"/>
              </w:rPr>
              <w:t>27 (90%)</w:t>
            </w:r>
          </w:p>
        </w:tc>
      </w:tr>
      <w:tr w:rsidR="005448E1" w14:paraId="1C734EA3" w14:textId="77777777">
        <w:trPr>
          <w:trHeight w:val="20"/>
        </w:trPr>
        <w:tc>
          <w:tcPr>
            <w:tcW w:w="41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3E915A2" w14:textId="77777777" w:rsidR="005448E1" w:rsidRDefault="00000000">
            <w:pPr>
              <w:spacing w:line="360" w:lineRule="auto"/>
              <w:jc w:val="both"/>
              <w:rPr>
                <w:sz w:val="20"/>
                <w:szCs w:val="20"/>
              </w:rPr>
            </w:pPr>
            <w:r>
              <w:rPr>
                <w:sz w:val="20"/>
                <w:szCs w:val="20"/>
              </w:rPr>
              <w:t>Tratamiento inadecuado*</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FEFC55D" w14:textId="77777777" w:rsidR="005448E1" w:rsidRDefault="00000000">
            <w:pPr>
              <w:spacing w:line="360" w:lineRule="auto"/>
              <w:jc w:val="center"/>
              <w:rPr>
                <w:sz w:val="20"/>
                <w:szCs w:val="20"/>
              </w:rPr>
            </w:pPr>
            <w:r>
              <w:rPr>
                <w:sz w:val="20"/>
                <w:szCs w:val="20"/>
              </w:rPr>
              <w:t>3 (10%)</w:t>
            </w:r>
          </w:p>
        </w:tc>
      </w:tr>
      <w:tr w:rsidR="005448E1" w14:paraId="27ACA5FF" w14:textId="77777777">
        <w:trPr>
          <w:trHeight w:val="719"/>
        </w:trPr>
        <w:tc>
          <w:tcPr>
            <w:tcW w:w="9027"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E9C927E" w14:textId="77777777" w:rsidR="005448E1" w:rsidRDefault="00000000">
            <w:pPr>
              <w:pBdr>
                <w:top w:val="nil"/>
                <w:left w:val="nil"/>
                <w:bottom w:val="nil"/>
                <w:right w:val="nil"/>
                <w:between w:val="nil"/>
              </w:pBdr>
              <w:spacing w:line="360" w:lineRule="auto"/>
              <w:jc w:val="both"/>
              <w:rPr>
                <w:i/>
                <w:color w:val="000000"/>
                <w:sz w:val="20"/>
                <w:szCs w:val="20"/>
              </w:rPr>
            </w:pPr>
            <w:r>
              <w:rPr>
                <w:i/>
                <w:sz w:val="20"/>
                <w:szCs w:val="20"/>
              </w:rPr>
              <w:t>*Un paciente progresó, uno perdió controles progresando al corto plazo y en un paciente no hubo disponibilidad de stock</w:t>
            </w:r>
          </w:p>
        </w:tc>
      </w:tr>
    </w:tbl>
    <w:p w14:paraId="2568E049" w14:textId="77777777" w:rsidR="005448E1" w:rsidRDefault="00000000">
      <w:pPr>
        <w:spacing w:line="360" w:lineRule="auto"/>
        <w:jc w:val="center"/>
      </w:pPr>
      <w:r>
        <w:rPr>
          <w:noProof/>
        </w:rPr>
        <w:lastRenderedPageBreak/>
        <w:drawing>
          <wp:inline distT="114300" distB="114300" distL="114300" distR="114300" wp14:anchorId="2A56A96B" wp14:editId="59AE484F">
            <wp:extent cx="5300663" cy="274718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300663" cy="2747187"/>
                    </a:xfrm>
                    <a:prstGeom prst="rect">
                      <a:avLst/>
                    </a:prstGeom>
                    <a:ln/>
                  </pic:spPr>
                </pic:pic>
              </a:graphicData>
            </a:graphic>
          </wp:inline>
        </w:drawing>
      </w:r>
    </w:p>
    <w:p w14:paraId="43711049" w14:textId="77777777" w:rsidR="005448E1" w:rsidRDefault="00000000">
      <w:pPr>
        <w:spacing w:line="360" w:lineRule="auto"/>
        <w:jc w:val="center"/>
        <w:rPr>
          <w:b/>
        </w:rPr>
      </w:pPr>
      <w:r>
        <w:rPr>
          <w:b/>
        </w:rPr>
        <w:t>Figura 3. Administración adecuada del tratamiento con BCG</w:t>
      </w:r>
    </w:p>
    <w:p w14:paraId="638A8A19" w14:textId="77777777" w:rsidR="005448E1" w:rsidRDefault="005448E1">
      <w:pPr>
        <w:spacing w:line="360" w:lineRule="auto"/>
        <w:rPr>
          <w:b/>
          <w:u w:val="single"/>
        </w:rPr>
      </w:pPr>
    </w:p>
    <w:p w14:paraId="54E0C928" w14:textId="77777777" w:rsidR="005448E1" w:rsidRDefault="005448E1">
      <w:pPr>
        <w:spacing w:line="360" w:lineRule="auto"/>
        <w:rPr>
          <w:b/>
          <w:u w:val="single"/>
        </w:rPr>
      </w:pPr>
    </w:p>
    <w:p w14:paraId="4E91E8D5" w14:textId="77777777" w:rsidR="005448E1" w:rsidRDefault="00000000">
      <w:pPr>
        <w:spacing w:line="360" w:lineRule="auto"/>
        <w:jc w:val="both"/>
      </w:pPr>
      <w:r>
        <w:t xml:space="preserve">Nuestro protocolo permitió un registro detallado de los efectos adversos vividos por los pacientes y nos permitió tomar conductas al respecto. El detalle de los efectos adversos experimentados durante la inducción y la mantención se detallan en la Tabla 4. </w:t>
      </w:r>
    </w:p>
    <w:p w14:paraId="4E9E2365" w14:textId="77777777" w:rsidR="005448E1" w:rsidRDefault="005448E1">
      <w:pPr>
        <w:spacing w:line="360" w:lineRule="auto"/>
        <w:jc w:val="both"/>
      </w:pPr>
    </w:p>
    <w:p w14:paraId="23C0C8BD" w14:textId="77777777" w:rsidR="005448E1" w:rsidRDefault="005448E1">
      <w:pPr>
        <w:spacing w:line="360" w:lineRule="auto"/>
        <w:jc w:val="both"/>
      </w:pPr>
    </w:p>
    <w:tbl>
      <w:tblPr>
        <w:tblStyle w:val="a2"/>
        <w:tblW w:w="902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01"/>
        <w:gridCol w:w="4926"/>
      </w:tblGrid>
      <w:tr w:rsidR="005448E1" w14:paraId="2EFBF9B7" w14:textId="77777777">
        <w:trPr>
          <w:trHeight w:val="400"/>
        </w:trPr>
        <w:tc>
          <w:tcPr>
            <w:tcW w:w="9027" w:type="dxa"/>
            <w:gridSpan w:val="2"/>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35E1B57B" w14:textId="77777777" w:rsidR="005448E1" w:rsidRDefault="00000000">
            <w:pPr>
              <w:spacing w:line="360" w:lineRule="auto"/>
              <w:rPr>
                <w:sz w:val="20"/>
                <w:szCs w:val="20"/>
              </w:rPr>
            </w:pPr>
            <w:r>
              <w:rPr>
                <w:b/>
                <w:sz w:val="20"/>
                <w:szCs w:val="20"/>
              </w:rPr>
              <w:t>Tabla 4.  Efectos adversos</w:t>
            </w:r>
          </w:p>
        </w:tc>
      </w:tr>
      <w:tr w:rsidR="005448E1" w14:paraId="12160070" w14:textId="77777777">
        <w:trPr>
          <w:trHeight w:val="20"/>
        </w:trPr>
        <w:tc>
          <w:tcPr>
            <w:tcW w:w="41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3A7A6A4" w14:textId="77777777" w:rsidR="005448E1" w:rsidRDefault="00000000">
            <w:pPr>
              <w:spacing w:line="360" w:lineRule="auto"/>
              <w:rPr>
                <w:sz w:val="20"/>
                <w:szCs w:val="20"/>
              </w:rPr>
            </w:pPr>
            <w:r>
              <w:rPr>
                <w:sz w:val="20"/>
                <w:szCs w:val="20"/>
              </w:rPr>
              <w:t>Durante la Inducción, n (%)</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1B0AE28" w14:textId="77777777" w:rsidR="005448E1" w:rsidRDefault="00000000">
            <w:pPr>
              <w:widowControl w:val="0"/>
              <w:pBdr>
                <w:top w:val="nil"/>
                <w:left w:val="nil"/>
                <w:bottom w:val="nil"/>
                <w:right w:val="nil"/>
                <w:between w:val="nil"/>
              </w:pBdr>
              <w:spacing w:line="360" w:lineRule="auto"/>
              <w:jc w:val="center"/>
              <w:rPr>
                <w:sz w:val="20"/>
                <w:szCs w:val="20"/>
              </w:rPr>
            </w:pPr>
            <w:r>
              <w:rPr>
                <w:sz w:val="20"/>
                <w:szCs w:val="20"/>
              </w:rPr>
              <w:t>18 (60%)</w:t>
            </w:r>
          </w:p>
        </w:tc>
      </w:tr>
      <w:tr w:rsidR="005448E1" w14:paraId="1522F0CB" w14:textId="77777777">
        <w:trPr>
          <w:trHeight w:val="20"/>
        </w:trPr>
        <w:tc>
          <w:tcPr>
            <w:tcW w:w="41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11B7C3C" w14:textId="77777777" w:rsidR="005448E1" w:rsidRDefault="00000000">
            <w:pPr>
              <w:pBdr>
                <w:top w:val="nil"/>
                <w:left w:val="nil"/>
                <w:bottom w:val="nil"/>
                <w:right w:val="nil"/>
                <w:between w:val="nil"/>
              </w:pBdr>
              <w:spacing w:line="360" w:lineRule="auto"/>
              <w:ind w:left="720"/>
              <w:jc w:val="both"/>
              <w:rPr>
                <w:color w:val="000000"/>
                <w:sz w:val="20"/>
                <w:szCs w:val="20"/>
              </w:rPr>
            </w:pPr>
            <w:r>
              <w:rPr>
                <w:sz w:val="20"/>
                <w:szCs w:val="20"/>
              </w:rPr>
              <w:t>Síntomas</w:t>
            </w:r>
            <w:r>
              <w:rPr>
                <w:color w:val="000000"/>
                <w:sz w:val="20"/>
                <w:szCs w:val="20"/>
              </w:rPr>
              <w:t xml:space="preserve"> Irritativos</w:t>
            </w:r>
          </w:p>
          <w:p w14:paraId="467A08CD" w14:textId="77777777" w:rsidR="005448E1" w:rsidRDefault="00000000">
            <w:pPr>
              <w:pBdr>
                <w:top w:val="nil"/>
                <w:left w:val="nil"/>
                <w:bottom w:val="nil"/>
                <w:right w:val="nil"/>
                <w:between w:val="nil"/>
              </w:pBdr>
              <w:spacing w:line="360" w:lineRule="auto"/>
              <w:ind w:left="720"/>
              <w:jc w:val="both"/>
              <w:rPr>
                <w:color w:val="000000"/>
                <w:sz w:val="20"/>
                <w:szCs w:val="20"/>
              </w:rPr>
            </w:pPr>
            <w:r>
              <w:rPr>
                <w:color w:val="000000"/>
                <w:sz w:val="20"/>
                <w:szCs w:val="20"/>
              </w:rPr>
              <w:t>Hematuria</w:t>
            </w:r>
          </w:p>
          <w:p w14:paraId="52B075D1" w14:textId="77777777" w:rsidR="005448E1" w:rsidRDefault="00000000">
            <w:pPr>
              <w:pBdr>
                <w:top w:val="nil"/>
                <w:left w:val="nil"/>
                <w:bottom w:val="nil"/>
                <w:right w:val="nil"/>
                <w:between w:val="nil"/>
              </w:pBdr>
              <w:spacing w:line="360" w:lineRule="auto"/>
              <w:ind w:left="720"/>
              <w:jc w:val="both"/>
              <w:rPr>
                <w:color w:val="000000"/>
                <w:sz w:val="20"/>
                <w:szCs w:val="20"/>
              </w:rPr>
            </w:pPr>
            <w:r>
              <w:rPr>
                <w:color w:val="000000"/>
                <w:sz w:val="20"/>
                <w:szCs w:val="20"/>
              </w:rPr>
              <w:t>ITU</w:t>
            </w:r>
          </w:p>
          <w:p w14:paraId="56A4A87E" w14:textId="77777777" w:rsidR="005448E1" w:rsidRDefault="00000000">
            <w:pPr>
              <w:pBdr>
                <w:top w:val="nil"/>
                <w:left w:val="nil"/>
                <w:bottom w:val="nil"/>
                <w:right w:val="nil"/>
                <w:between w:val="nil"/>
              </w:pBdr>
              <w:spacing w:line="360" w:lineRule="auto"/>
              <w:ind w:left="720"/>
              <w:jc w:val="both"/>
              <w:rPr>
                <w:color w:val="000000"/>
                <w:sz w:val="20"/>
                <w:szCs w:val="20"/>
              </w:rPr>
            </w:pPr>
            <w:proofErr w:type="spellStart"/>
            <w:r>
              <w:rPr>
                <w:color w:val="000000"/>
                <w:sz w:val="20"/>
                <w:szCs w:val="20"/>
              </w:rPr>
              <w:t>BCGitis</w:t>
            </w:r>
            <w:proofErr w:type="spellEnd"/>
          </w:p>
        </w:tc>
        <w:tc>
          <w:tcPr>
            <w:tcW w:w="492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5E0D440" w14:textId="77777777" w:rsidR="005448E1" w:rsidRDefault="00000000">
            <w:pPr>
              <w:spacing w:line="360" w:lineRule="auto"/>
              <w:jc w:val="center"/>
              <w:rPr>
                <w:sz w:val="20"/>
                <w:szCs w:val="20"/>
              </w:rPr>
            </w:pPr>
            <w:r>
              <w:rPr>
                <w:sz w:val="20"/>
                <w:szCs w:val="20"/>
              </w:rPr>
              <w:t>16 (53,3%)</w:t>
            </w:r>
          </w:p>
          <w:p w14:paraId="1D3B5300" w14:textId="77777777" w:rsidR="005448E1" w:rsidRDefault="00000000">
            <w:pPr>
              <w:spacing w:line="360" w:lineRule="auto"/>
              <w:jc w:val="center"/>
              <w:rPr>
                <w:sz w:val="20"/>
                <w:szCs w:val="20"/>
              </w:rPr>
            </w:pPr>
            <w:r>
              <w:rPr>
                <w:sz w:val="20"/>
                <w:szCs w:val="20"/>
              </w:rPr>
              <w:t>6 (20%)</w:t>
            </w:r>
          </w:p>
          <w:p w14:paraId="07EBDFE0" w14:textId="77777777" w:rsidR="005448E1" w:rsidRDefault="00000000">
            <w:pPr>
              <w:spacing w:line="360" w:lineRule="auto"/>
              <w:jc w:val="center"/>
              <w:rPr>
                <w:sz w:val="20"/>
                <w:szCs w:val="20"/>
              </w:rPr>
            </w:pPr>
            <w:r>
              <w:rPr>
                <w:sz w:val="20"/>
                <w:szCs w:val="20"/>
              </w:rPr>
              <w:t>1 (3,3%)</w:t>
            </w:r>
          </w:p>
          <w:p w14:paraId="7EF842AD" w14:textId="77777777" w:rsidR="005448E1" w:rsidRDefault="00000000">
            <w:pPr>
              <w:spacing w:line="360" w:lineRule="auto"/>
              <w:jc w:val="center"/>
              <w:rPr>
                <w:sz w:val="20"/>
                <w:szCs w:val="20"/>
              </w:rPr>
            </w:pPr>
            <w:r>
              <w:rPr>
                <w:sz w:val="20"/>
                <w:szCs w:val="20"/>
              </w:rPr>
              <w:t>0 (0%)</w:t>
            </w:r>
          </w:p>
        </w:tc>
      </w:tr>
      <w:tr w:rsidR="005448E1" w14:paraId="2B1C0B1B" w14:textId="77777777">
        <w:trPr>
          <w:trHeight w:val="20"/>
        </w:trPr>
        <w:tc>
          <w:tcPr>
            <w:tcW w:w="41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87C5EA7" w14:textId="77777777" w:rsidR="005448E1" w:rsidRDefault="00000000">
            <w:pPr>
              <w:spacing w:line="360" w:lineRule="auto"/>
              <w:jc w:val="both"/>
              <w:rPr>
                <w:sz w:val="20"/>
                <w:szCs w:val="20"/>
              </w:rPr>
            </w:pPr>
            <w:r>
              <w:rPr>
                <w:sz w:val="20"/>
                <w:szCs w:val="20"/>
              </w:rPr>
              <w:t>Durante la Mantención, n (%)</w:t>
            </w:r>
          </w:p>
        </w:tc>
        <w:tc>
          <w:tcPr>
            <w:tcW w:w="492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564834BD" w14:textId="77777777" w:rsidR="005448E1" w:rsidRDefault="00000000">
            <w:pPr>
              <w:spacing w:line="360" w:lineRule="auto"/>
              <w:jc w:val="center"/>
              <w:rPr>
                <w:sz w:val="20"/>
                <w:szCs w:val="20"/>
              </w:rPr>
            </w:pPr>
            <w:r>
              <w:rPr>
                <w:sz w:val="20"/>
                <w:szCs w:val="20"/>
              </w:rPr>
              <w:t>15 (50%)</w:t>
            </w:r>
          </w:p>
        </w:tc>
      </w:tr>
      <w:tr w:rsidR="005448E1" w14:paraId="5F61A119" w14:textId="77777777">
        <w:trPr>
          <w:trHeight w:val="20"/>
        </w:trPr>
        <w:tc>
          <w:tcPr>
            <w:tcW w:w="41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6DE2D97B" w14:textId="77777777" w:rsidR="005448E1" w:rsidRDefault="00000000">
            <w:pPr>
              <w:pBdr>
                <w:top w:val="nil"/>
                <w:left w:val="nil"/>
                <w:bottom w:val="nil"/>
                <w:right w:val="nil"/>
                <w:between w:val="nil"/>
              </w:pBdr>
              <w:spacing w:line="360" w:lineRule="auto"/>
              <w:ind w:left="720"/>
              <w:jc w:val="both"/>
              <w:rPr>
                <w:color w:val="000000"/>
                <w:sz w:val="20"/>
                <w:szCs w:val="20"/>
              </w:rPr>
            </w:pPr>
            <w:r>
              <w:rPr>
                <w:sz w:val="20"/>
                <w:szCs w:val="20"/>
              </w:rPr>
              <w:t>Síntomas</w:t>
            </w:r>
            <w:r>
              <w:rPr>
                <w:color w:val="000000"/>
                <w:sz w:val="20"/>
                <w:szCs w:val="20"/>
              </w:rPr>
              <w:t xml:space="preserve"> Irritativos</w:t>
            </w:r>
          </w:p>
          <w:p w14:paraId="32BE393F" w14:textId="77777777" w:rsidR="005448E1" w:rsidRDefault="00000000">
            <w:pPr>
              <w:pBdr>
                <w:top w:val="nil"/>
                <w:left w:val="nil"/>
                <w:bottom w:val="nil"/>
                <w:right w:val="nil"/>
                <w:between w:val="nil"/>
              </w:pBdr>
              <w:spacing w:line="360" w:lineRule="auto"/>
              <w:ind w:left="720"/>
              <w:jc w:val="both"/>
              <w:rPr>
                <w:color w:val="000000"/>
                <w:sz w:val="20"/>
                <w:szCs w:val="20"/>
              </w:rPr>
            </w:pPr>
            <w:r>
              <w:rPr>
                <w:color w:val="000000"/>
                <w:sz w:val="20"/>
                <w:szCs w:val="20"/>
              </w:rPr>
              <w:t>Hematuria</w:t>
            </w:r>
          </w:p>
          <w:p w14:paraId="46A6FF93" w14:textId="77777777" w:rsidR="005448E1" w:rsidRDefault="00000000">
            <w:pPr>
              <w:pBdr>
                <w:top w:val="nil"/>
                <w:left w:val="nil"/>
                <w:bottom w:val="nil"/>
                <w:right w:val="nil"/>
                <w:between w:val="nil"/>
              </w:pBdr>
              <w:spacing w:line="360" w:lineRule="auto"/>
              <w:ind w:left="720"/>
              <w:jc w:val="both"/>
              <w:rPr>
                <w:color w:val="000000"/>
                <w:sz w:val="20"/>
                <w:szCs w:val="20"/>
              </w:rPr>
            </w:pPr>
            <w:r>
              <w:rPr>
                <w:color w:val="000000"/>
                <w:sz w:val="20"/>
                <w:szCs w:val="20"/>
              </w:rPr>
              <w:t>ITU</w:t>
            </w:r>
          </w:p>
          <w:p w14:paraId="0FA79481" w14:textId="77777777" w:rsidR="005448E1" w:rsidRDefault="00000000">
            <w:pPr>
              <w:pBdr>
                <w:top w:val="nil"/>
                <w:left w:val="nil"/>
                <w:bottom w:val="nil"/>
                <w:right w:val="nil"/>
                <w:between w:val="nil"/>
              </w:pBdr>
              <w:spacing w:line="360" w:lineRule="auto"/>
              <w:ind w:left="720"/>
              <w:jc w:val="both"/>
              <w:rPr>
                <w:color w:val="000000"/>
                <w:sz w:val="20"/>
                <w:szCs w:val="20"/>
              </w:rPr>
            </w:pPr>
            <w:proofErr w:type="spellStart"/>
            <w:r>
              <w:rPr>
                <w:color w:val="000000"/>
                <w:sz w:val="20"/>
                <w:szCs w:val="20"/>
              </w:rPr>
              <w:t>BCGitis</w:t>
            </w:r>
            <w:proofErr w:type="spellEnd"/>
          </w:p>
        </w:tc>
        <w:tc>
          <w:tcPr>
            <w:tcW w:w="4926"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2AF8D422" w14:textId="77777777" w:rsidR="005448E1" w:rsidRDefault="00000000">
            <w:pPr>
              <w:spacing w:line="360" w:lineRule="auto"/>
              <w:jc w:val="center"/>
              <w:rPr>
                <w:sz w:val="20"/>
                <w:szCs w:val="20"/>
              </w:rPr>
            </w:pPr>
            <w:r>
              <w:rPr>
                <w:sz w:val="20"/>
                <w:szCs w:val="20"/>
              </w:rPr>
              <w:t>14 (46,7%)</w:t>
            </w:r>
          </w:p>
          <w:p w14:paraId="26EEE9D4" w14:textId="77777777" w:rsidR="005448E1" w:rsidRDefault="00000000">
            <w:pPr>
              <w:spacing w:line="360" w:lineRule="auto"/>
              <w:jc w:val="center"/>
              <w:rPr>
                <w:sz w:val="20"/>
                <w:szCs w:val="20"/>
              </w:rPr>
            </w:pPr>
            <w:r>
              <w:rPr>
                <w:sz w:val="20"/>
                <w:szCs w:val="20"/>
              </w:rPr>
              <w:t>5 (16,7%)</w:t>
            </w:r>
          </w:p>
          <w:p w14:paraId="368D3CD0" w14:textId="77777777" w:rsidR="005448E1" w:rsidRDefault="00000000">
            <w:pPr>
              <w:spacing w:line="360" w:lineRule="auto"/>
              <w:jc w:val="center"/>
              <w:rPr>
                <w:sz w:val="20"/>
                <w:szCs w:val="20"/>
              </w:rPr>
            </w:pPr>
            <w:r>
              <w:rPr>
                <w:sz w:val="20"/>
                <w:szCs w:val="20"/>
              </w:rPr>
              <w:t>3 (10%)</w:t>
            </w:r>
          </w:p>
          <w:p w14:paraId="6362C663" w14:textId="77777777" w:rsidR="005448E1" w:rsidRDefault="00000000">
            <w:pPr>
              <w:spacing w:line="360" w:lineRule="auto"/>
              <w:jc w:val="center"/>
              <w:rPr>
                <w:sz w:val="20"/>
                <w:szCs w:val="20"/>
              </w:rPr>
            </w:pPr>
            <w:r>
              <w:rPr>
                <w:sz w:val="20"/>
                <w:szCs w:val="20"/>
              </w:rPr>
              <w:t>4 (13,3%)</w:t>
            </w:r>
          </w:p>
        </w:tc>
      </w:tr>
    </w:tbl>
    <w:p w14:paraId="3F6E33D1" w14:textId="77777777" w:rsidR="005448E1" w:rsidRDefault="005448E1">
      <w:pPr>
        <w:spacing w:line="360" w:lineRule="auto"/>
        <w:jc w:val="both"/>
      </w:pPr>
    </w:p>
    <w:p w14:paraId="01C6BCCF" w14:textId="2D4445E4" w:rsidR="005448E1" w:rsidRDefault="00000000">
      <w:pPr>
        <w:spacing w:line="360" w:lineRule="auto"/>
        <w:jc w:val="both"/>
      </w:pPr>
      <w:r>
        <w:t xml:space="preserve">En cuanto a los tratamientos realizados para los efectos adversos descritos, logramos realizar la aplicación correcta por protocolo en el total de los pacientes. 3 pacientes abandonaron </w:t>
      </w:r>
      <w:r>
        <w:lastRenderedPageBreak/>
        <w:t xml:space="preserve">tratamiento por efectos adversos, todos durante el primer año de tratamiento (2 en fase de mantención y uno tras terminar la fase de inducción).  </w:t>
      </w:r>
    </w:p>
    <w:p w14:paraId="4046098C" w14:textId="2F3A0230" w:rsidR="005448E1" w:rsidRDefault="00000000">
      <w:pPr>
        <w:spacing w:line="360" w:lineRule="auto"/>
        <w:jc w:val="both"/>
        <w:rPr>
          <w:b/>
          <w:u w:val="single"/>
        </w:rPr>
      </w:pPr>
      <w:r>
        <w:t xml:space="preserve">Uno de los pacientes presentó persistencia de los síntomas y fue derivado adicionalmente al equipo de Broncopulmonar, donde se indicó tratamiento antituberculoso, con adecuada respuesta sintomática tras tratamiento. Los efectos adversos no significaron una reducción de la próxima dosis, ni impactaron en las fechas estipuladas en su administración. </w:t>
      </w:r>
    </w:p>
    <w:p w14:paraId="59E90A1D" w14:textId="77777777" w:rsidR="005448E1" w:rsidRDefault="005448E1">
      <w:pPr>
        <w:spacing w:line="360" w:lineRule="auto"/>
        <w:jc w:val="both"/>
        <w:rPr>
          <w:highlight w:val="yellow"/>
        </w:rPr>
      </w:pPr>
    </w:p>
    <w:p w14:paraId="5C35EB9A" w14:textId="5F72B46B" w:rsidR="005448E1" w:rsidRDefault="00000000">
      <w:pPr>
        <w:spacing w:line="360" w:lineRule="auto"/>
        <w:jc w:val="both"/>
      </w:pPr>
      <w:r>
        <w:t xml:space="preserve">El cateterismo traumático no fue reportado en nuestra serie, no teniendo que posponer el tratamiento intravesical con BCG por esta variable en ningún paciente. </w:t>
      </w:r>
    </w:p>
    <w:p w14:paraId="1B9C5075" w14:textId="77777777" w:rsidR="005448E1" w:rsidRDefault="005448E1">
      <w:pPr>
        <w:spacing w:line="360" w:lineRule="auto"/>
        <w:jc w:val="both"/>
        <w:rPr>
          <w:highlight w:val="cyan"/>
        </w:rPr>
      </w:pPr>
    </w:p>
    <w:p w14:paraId="56C7665A" w14:textId="4E804390" w:rsidR="005448E1" w:rsidRDefault="00000000">
      <w:pPr>
        <w:spacing w:line="360" w:lineRule="auto"/>
        <w:jc w:val="both"/>
        <w:rPr>
          <w:color w:val="1155CC"/>
          <w:highlight w:val="yellow"/>
        </w:rPr>
      </w:pPr>
      <w:r>
        <w:t>En cuanto a la encuesta de satisfacción, 28 pacientes respondieron la encuesta, excluimos aquellos que progresaron en la inducción y se incorporó el paciente que presentó falta de stock, ya que se realizó una segunda inducción. Las respuesta</w:t>
      </w:r>
      <w:r w:rsidR="00767323">
        <w:t>s</w:t>
      </w:r>
      <w:r>
        <w:t xml:space="preserve"> a las preguntas 2 y 3, sobre sensación de seguridad y acceso a atención ante efectos adversos, fueron considerablemente positivas con una mediana de puntaje de 5 (RIQ 5-5). Las respuestas </w:t>
      </w:r>
      <w:proofErr w:type="gramStart"/>
      <w:r>
        <w:t>a  la</w:t>
      </w:r>
      <w:proofErr w:type="gramEnd"/>
      <w:r>
        <w:t xml:space="preserve"> pregunta 1 sobre sensación de confort del procedimiento se muestran en la Figura 4. tuvimos 1 paciente (3,6%) que reportó la puntuación mínima, 1 paciente (3,6%) reportó una puntuación de 2, 2 pacientes (7,1%) otorgaron 3 puntos, 5 (17,9%) con 4 puntos y por último 19 pacientes (67,9%) otorgaron puntaje máximo de 5 puntos. </w:t>
      </w:r>
    </w:p>
    <w:p w14:paraId="3AAE8055" w14:textId="77777777" w:rsidR="005448E1" w:rsidRDefault="005448E1">
      <w:pPr>
        <w:spacing w:line="360" w:lineRule="auto"/>
        <w:jc w:val="both"/>
        <w:rPr>
          <w:color w:val="1155CC"/>
          <w:highlight w:val="yellow"/>
        </w:rPr>
      </w:pPr>
    </w:p>
    <w:p w14:paraId="537E1D76" w14:textId="77777777" w:rsidR="005448E1" w:rsidRDefault="005448E1">
      <w:pPr>
        <w:spacing w:line="360" w:lineRule="auto"/>
        <w:jc w:val="both"/>
        <w:rPr>
          <w:color w:val="1155CC"/>
          <w:highlight w:val="magenta"/>
        </w:rPr>
      </w:pPr>
    </w:p>
    <w:p w14:paraId="283D16E1" w14:textId="77777777" w:rsidR="005448E1" w:rsidRDefault="00000000">
      <w:pPr>
        <w:spacing w:line="360" w:lineRule="auto"/>
        <w:jc w:val="center"/>
        <w:rPr>
          <w:highlight w:val="magenta"/>
        </w:rPr>
      </w:pPr>
      <w:r>
        <w:rPr>
          <w:highlight w:val="magenta"/>
        </w:rPr>
        <w:t xml:space="preserve"> </w:t>
      </w:r>
      <w:r>
        <w:rPr>
          <w:noProof/>
          <w:highlight w:val="magenta"/>
        </w:rPr>
        <w:drawing>
          <wp:inline distT="114300" distB="114300" distL="114300" distR="114300" wp14:anchorId="0E18E1C2" wp14:editId="6C297275">
            <wp:extent cx="4396375" cy="267155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a:srcRect l="2494" t="1656" b="-1"/>
                    <a:stretch>
                      <a:fillRect/>
                    </a:stretch>
                  </pic:blipFill>
                  <pic:spPr bwMode="auto">
                    <a:xfrm>
                      <a:off x="0" y="0"/>
                      <a:ext cx="4430579" cy="2692344"/>
                    </a:xfrm>
                    <a:prstGeom prst="rect">
                      <a:avLst/>
                    </a:prstGeom>
                    <a:ln>
                      <a:noFill/>
                    </a:ln>
                    <a:extLst>
                      <a:ext uri="{53640926-AAD7-44D8-BBD7-CCE9431645EC}">
                        <a14:shadowObscured xmlns:a14="http://schemas.microsoft.com/office/drawing/2010/main"/>
                      </a:ext>
                    </a:extLst>
                  </pic:spPr>
                </pic:pic>
              </a:graphicData>
            </a:graphic>
          </wp:inline>
        </w:drawing>
      </w:r>
    </w:p>
    <w:p w14:paraId="4AA37580" w14:textId="77777777" w:rsidR="005448E1" w:rsidRDefault="00000000">
      <w:pPr>
        <w:spacing w:line="360" w:lineRule="auto"/>
        <w:jc w:val="center"/>
        <w:rPr>
          <w:b/>
        </w:rPr>
      </w:pPr>
      <w:r>
        <w:rPr>
          <w:b/>
        </w:rPr>
        <w:t>Figura 4. Mediana de puntuación en encuesta de satisfacción</w:t>
      </w:r>
    </w:p>
    <w:p w14:paraId="7BDF9F71" w14:textId="77777777" w:rsidR="005448E1" w:rsidRDefault="005448E1">
      <w:pPr>
        <w:spacing w:line="360" w:lineRule="auto"/>
        <w:jc w:val="center"/>
        <w:rPr>
          <w:b/>
        </w:rPr>
      </w:pPr>
    </w:p>
    <w:p w14:paraId="4CF49A20" w14:textId="0D18DC15" w:rsidR="005448E1" w:rsidRDefault="00000000">
      <w:pPr>
        <w:spacing w:line="360" w:lineRule="auto"/>
        <w:jc w:val="both"/>
        <w:rPr>
          <w:b/>
          <w:sz w:val="30"/>
          <w:szCs w:val="30"/>
        </w:rPr>
      </w:pPr>
      <w:proofErr w:type="gramStart"/>
      <w:r>
        <w:lastRenderedPageBreak/>
        <w:t>Y</w:t>
      </w:r>
      <w:proofErr w:type="gramEnd"/>
      <w:r>
        <w:t xml:space="preserve"> por último, que mejorarían del proceso, un 28,6% (8 pacientes) manifestó mejoras en el lugar de administración y camillas y un 50% (14 pacientes) que sería beneficioso seguir el proceso con el mismo Urólogo, y el resto de los pacientes no se refirió a este ítem.  </w:t>
      </w:r>
    </w:p>
    <w:p w14:paraId="5EC9A300" w14:textId="77777777" w:rsidR="005448E1" w:rsidRDefault="005448E1">
      <w:pPr>
        <w:spacing w:line="360" w:lineRule="auto"/>
        <w:jc w:val="both"/>
        <w:rPr>
          <w:b/>
          <w:sz w:val="30"/>
          <w:szCs w:val="30"/>
        </w:rPr>
      </w:pPr>
    </w:p>
    <w:p w14:paraId="787F2DFC" w14:textId="77777777" w:rsidR="005448E1" w:rsidRDefault="00000000">
      <w:pPr>
        <w:spacing w:line="360" w:lineRule="auto"/>
        <w:jc w:val="both"/>
        <w:rPr>
          <w:b/>
          <w:color w:val="000000"/>
        </w:rPr>
      </w:pPr>
      <w:r>
        <w:rPr>
          <w:b/>
          <w:sz w:val="30"/>
          <w:szCs w:val="30"/>
        </w:rPr>
        <w:t xml:space="preserve">DISCUSIÓN </w:t>
      </w:r>
    </w:p>
    <w:p w14:paraId="42140778" w14:textId="77777777" w:rsidR="005448E1" w:rsidRDefault="005448E1">
      <w:pPr>
        <w:pBdr>
          <w:top w:val="nil"/>
          <w:left w:val="nil"/>
          <w:bottom w:val="nil"/>
          <w:right w:val="nil"/>
          <w:between w:val="nil"/>
        </w:pBdr>
        <w:spacing w:line="360" w:lineRule="auto"/>
        <w:ind w:left="720"/>
        <w:jc w:val="both"/>
        <w:rPr>
          <w:color w:val="000000"/>
        </w:rPr>
      </w:pPr>
    </w:p>
    <w:p w14:paraId="156F683A" w14:textId="1097B2E1" w:rsidR="005448E1" w:rsidRDefault="00000000">
      <w:pPr>
        <w:spacing w:line="360" w:lineRule="auto"/>
        <w:jc w:val="both"/>
      </w:pPr>
      <w:r>
        <w:t>Con nuestro Protocolo de administración de BCG logramos un 97% de adherencia,</w:t>
      </w:r>
      <w:r w:rsidR="00767323">
        <w:t xml:space="preserve"> </w:t>
      </w:r>
      <w:r>
        <w:t xml:space="preserve">sólo con una paciente que perdió controles durante la fase de inducción con pronta progresión. En cuanto al tratamiento adecuado, definido como 5 de 6 ciclos en inducción obtuvimos un 90% de cumplimiento. Los 3 pacientes que fallaron durante la fase de inducción, 1 progresó, uno perdió controles con posterior progresión y el otro hubo falta de stock. </w:t>
      </w:r>
    </w:p>
    <w:p w14:paraId="6DFE468B" w14:textId="77777777" w:rsidR="005448E1" w:rsidRDefault="005448E1">
      <w:pPr>
        <w:spacing w:line="360" w:lineRule="auto"/>
        <w:jc w:val="both"/>
      </w:pPr>
    </w:p>
    <w:p w14:paraId="4EE53BA8" w14:textId="59B57C32" w:rsidR="005448E1" w:rsidRDefault="00000000">
      <w:pPr>
        <w:spacing w:line="360" w:lineRule="auto"/>
        <w:jc w:val="both"/>
      </w:pPr>
      <w:r>
        <w:t>Además, logramos un reporte y seguimiento de eventos adversos (EA) en un 100 % de manera oportuna, que nos permitió manejar la totalidad de las complicaciones. El principal EA fueron los síntomas irritativos, 53% en inducción y 46% en mantención. Estos</w:t>
      </w:r>
      <w:r w:rsidR="00767323">
        <w:t xml:space="preserve"> </w:t>
      </w:r>
      <w:proofErr w:type="gramStart"/>
      <w:r>
        <w:t>fueron  manejados</w:t>
      </w:r>
      <w:proofErr w:type="gramEnd"/>
      <w:r>
        <w:t xml:space="preserve"> con antimuscarínicos y en su persistencia con antibióticos y corticoides por 14 días. El abandono por EA fue un 10% (N=3), teniendo un paciente que recibir terapia antituberculosa por persistencia de síntomas irritativos, hematuria y </w:t>
      </w:r>
      <w:proofErr w:type="spellStart"/>
      <w:r>
        <w:t>BCGitis</w:t>
      </w:r>
      <w:proofErr w:type="spellEnd"/>
      <w:r>
        <w:t xml:space="preserve">.  </w:t>
      </w:r>
    </w:p>
    <w:p w14:paraId="4B2E6AEE" w14:textId="77777777" w:rsidR="005448E1" w:rsidRDefault="005448E1">
      <w:pPr>
        <w:pBdr>
          <w:top w:val="nil"/>
          <w:left w:val="nil"/>
          <w:bottom w:val="nil"/>
          <w:right w:val="nil"/>
          <w:between w:val="nil"/>
        </w:pBdr>
        <w:spacing w:line="360" w:lineRule="auto"/>
        <w:jc w:val="both"/>
      </w:pPr>
    </w:p>
    <w:p w14:paraId="4EC91091" w14:textId="65F8B2A1" w:rsidR="005448E1" w:rsidRDefault="00000000">
      <w:pPr>
        <w:pBdr>
          <w:top w:val="nil"/>
          <w:left w:val="nil"/>
          <w:bottom w:val="nil"/>
          <w:right w:val="nil"/>
          <w:between w:val="nil"/>
        </w:pBdr>
        <w:spacing w:line="360" w:lineRule="auto"/>
        <w:jc w:val="both"/>
      </w:pPr>
      <w:r>
        <w:t>Un aspecto relevante es la distribución de riesgo de los pacientes, con un 80% de Cáncer de Alto Riesgo, a diferencias de otras series con un 45-50% (13-14), lo cual confiere un perfil de mayor agresividad a nuestra cohorte. Esto conlleva a planificar tratamientos más largos, con mayores dosis acumuladas, mayor seguimiento y por tanto más probabilidad de tratamientos inadecuados. Sin embargo, en este estudio se obtuvo un 97% de adherencia de los pacientes, con un 94% de cumplimiento de tratamiento adecuado en la fase de inducción y un 100% en la fase de mantención.  En otras series, se reportan cifras que oscilan entre un 73-95% de inducción adecuada, cayendo a un 40% de mantención adecuada</w:t>
      </w:r>
      <w:r w:rsidR="00767323">
        <w:t xml:space="preserve"> </w:t>
      </w:r>
      <w:r>
        <w:t xml:space="preserve">(15). </w:t>
      </w:r>
    </w:p>
    <w:p w14:paraId="128D57EE" w14:textId="77777777" w:rsidR="005448E1" w:rsidRDefault="005448E1">
      <w:pPr>
        <w:spacing w:line="360" w:lineRule="auto"/>
        <w:jc w:val="both"/>
      </w:pPr>
    </w:p>
    <w:p w14:paraId="5373035A" w14:textId="10E9B63D" w:rsidR="005448E1" w:rsidRDefault="00000000">
      <w:pPr>
        <w:spacing w:line="360" w:lineRule="auto"/>
        <w:jc w:val="both"/>
      </w:pPr>
      <w:r>
        <w:t xml:space="preserve">Los efectos adversos fueron 60% durante la fase de inducción y 50% en las fases de mantención, siendo los síntomas irritativos los más frecuentes (50%). Estos resultados son inferiores a la serie reportada por </w:t>
      </w:r>
      <w:r>
        <w:rPr>
          <w:color w:val="1B1B1B"/>
          <w:sz w:val="24"/>
          <w:szCs w:val="24"/>
          <w:highlight w:val="white"/>
        </w:rPr>
        <w:t>Malik et al (16)</w:t>
      </w:r>
      <w:r>
        <w:t xml:space="preserve"> con 70% de cualquier evento adverso.  En los efectos adversos severos reportados por Van </w:t>
      </w:r>
      <w:proofErr w:type="spellStart"/>
      <w:r>
        <w:t>der</w:t>
      </w:r>
      <w:proofErr w:type="spellEnd"/>
      <w:r>
        <w:t xml:space="preserve"> </w:t>
      </w:r>
      <w:proofErr w:type="spellStart"/>
      <w:r>
        <w:t>Meijden</w:t>
      </w:r>
      <w:proofErr w:type="spellEnd"/>
      <w:r>
        <w:t xml:space="preserve"> et al (15), las cifras son de 5%. En nuestra serie, los efectos adversos severos principalmente </w:t>
      </w:r>
      <w:proofErr w:type="spellStart"/>
      <w:r>
        <w:t>BCGitis</w:t>
      </w:r>
      <w:proofErr w:type="spellEnd"/>
      <w:r>
        <w:t xml:space="preserve"> fueron reportados en 13% (N=4), manejados satisfactoriamente en 3 de ellos con Ciprofloxacino y Corticoides por 2 semanas. En un paciente los síntomas irritativos, hematuria y </w:t>
      </w:r>
      <w:proofErr w:type="spellStart"/>
      <w:r>
        <w:t>BCGitis</w:t>
      </w:r>
      <w:proofErr w:type="spellEnd"/>
      <w:r>
        <w:t xml:space="preserve"> persistieron teniendo que ser derivado para completar tratamiento antituberculoso, afortunadamente con buena </w:t>
      </w:r>
      <w:r>
        <w:lastRenderedPageBreak/>
        <w:t xml:space="preserve">respuesta. En comparación a las tasas de ITU y Sepsis, obtuvimos un 3% en inducción y un 10% en la fase de mantención, superior a las tasas reportadas por </w:t>
      </w:r>
      <w:proofErr w:type="spellStart"/>
      <w:r>
        <w:t>Leeson</w:t>
      </w:r>
      <w:proofErr w:type="spellEnd"/>
      <w:r>
        <w:t xml:space="preserve"> et al (17), las cuales van un 1% y un 0.4% Sepsis. Es posible que nuestra mayor tasa de ITU, se deba a su interpretación atribuible a síntomas irritativos cuando no existía posibilidad pronta en la toma de exámenes de orina y urocultivos. </w:t>
      </w:r>
    </w:p>
    <w:p w14:paraId="7E546EE1" w14:textId="77777777" w:rsidR="005448E1" w:rsidRDefault="00000000">
      <w:pPr>
        <w:spacing w:line="360" w:lineRule="auto"/>
        <w:jc w:val="both"/>
      </w:pPr>
      <w:r>
        <w:t xml:space="preserve"> </w:t>
      </w:r>
    </w:p>
    <w:p w14:paraId="082EB01E" w14:textId="7100FD47" w:rsidR="005448E1" w:rsidRDefault="00000000">
      <w:pPr>
        <w:spacing w:line="360" w:lineRule="auto"/>
        <w:jc w:val="both"/>
      </w:pPr>
      <w:r>
        <w:t>No tuvimos tasas de cateterismo traumático, lo cual no modificó el esquema de administración y no agregó morbilidad al procedimiento. En cohortes hospitalarias de estudios observacionales de instilación intravesical, 3–7% tienen algún grado de cateterismo dificultoso o con hematuria posterior. En contextos donde el procedimiento lo realiza personal no médico, la tasa reportada sube hasta 15%</w:t>
      </w:r>
      <w:r w:rsidR="00767323">
        <w:t xml:space="preserve"> </w:t>
      </w:r>
      <w:r>
        <w:t>(18). La presencia de sangrado macroscópico post-cateterismo es criterio de contraindicación para instilar BCG en la misma sesión, por el riesgo de absorción sistémica. Es uno de los principales factores modificables para prevenir complicaciones graves de BCG.</w:t>
      </w:r>
    </w:p>
    <w:p w14:paraId="0227247A" w14:textId="77777777" w:rsidR="005448E1" w:rsidRDefault="005448E1">
      <w:pPr>
        <w:spacing w:line="360" w:lineRule="auto"/>
        <w:jc w:val="both"/>
      </w:pPr>
    </w:p>
    <w:p w14:paraId="32AF0AED" w14:textId="34DA5478" w:rsidR="005448E1" w:rsidRDefault="00000000">
      <w:pPr>
        <w:spacing w:line="360" w:lineRule="auto"/>
        <w:jc w:val="both"/>
      </w:pPr>
      <w:r>
        <w:t xml:space="preserve">Por medio de nuestro estudio logramos un impacto significativo en adherencia de los pacientes comparado con la bibliografía, mejor tasa de tratamientos adecuado que en otras series (8-9). A través de este protocolo, propusimos una estrategia de administración de BCG innovadora, administrada por urólogos, con un seguimiento por los mismos con ayuda de personal paramédico, permitiéndonos un manejo oportuno de los efectos adversos.  </w:t>
      </w:r>
      <w:r w:rsidR="00767323">
        <w:t>Finalmente,</w:t>
      </w:r>
      <w:r>
        <w:t xml:space="preserve"> esta estrategia nos permitió una mejor adherencia, mejor tratamiento adecuado y menores tasas de cateterismo traumático (17), que no retrasaron los tratamientos. Por otra parte, evaluando nuestra encuesta de satisfacción, obtuvimos resultados sobresalientes, con escasas molestias en el cateterismo (solo 14% puntuación </w:t>
      </w:r>
      <w:r>
        <w:rPr>
          <w:u w:val="single"/>
        </w:rPr>
        <w:t>&lt;</w:t>
      </w:r>
      <w:r>
        <w:t>3 puntos). Y analizando el ítem final sobre qué mejorar los pacientes refirieron mejoras en la infraestructura y mantención del urólogo, por lo que consideramos que se estableció un estándar de tratamiento alto al realizar el cateterismo por especialista.</w:t>
      </w:r>
    </w:p>
    <w:p w14:paraId="0042FF32" w14:textId="77777777" w:rsidR="005448E1" w:rsidRDefault="005448E1">
      <w:pPr>
        <w:spacing w:line="360" w:lineRule="auto"/>
        <w:jc w:val="both"/>
      </w:pPr>
    </w:p>
    <w:p w14:paraId="2544C428" w14:textId="77777777" w:rsidR="005448E1" w:rsidRDefault="00000000">
      <w:pPr>
        <w:spacing w:line="360" w:lineRule="auto"/>
        <w:jc w:val="both"/>
      </w:pPr>
      <w:r>
        <w:t>En cuanto a las limitaciones de nuestro estudio destacamos el costo que involucra la administración por urólogo, requiriendo adjudicar horas del especialista en la realización del procedimiento, sin embargo, como se expone en nuestro protocolo, se puede reducir este tiempo con una organización adecuada a cerca de 15 minutos la participación del urólogo.</w:t>
      </w:r>
    </w:p>
    <w:p w14:paraId="5A2605B4" w14:textId="77777777" w:rsidR="005448E1" w:rsidRDefault="005448E1">
      <w:pPr>
        <w:spacing w:line="360" w:lineRule="auto"/>
        <w:jc w:val="both"/>
      </w:pPr>
    </w:p>
    <w:p w14:paraId="7FB5A414" w14:textId="77777777" w:rsidR="005448E1" w:rsidRDefault="00000000">
      <w:pPr>
        <w:spacing w:line="360" w:lineRule="auto"/>
        <w:jc w:val="both"/>
        <w:rPr>
          <w:color w:val="000000"/>
        </w:rPr>
      </w:pPr>
      <w:r>
        <w:t xml:space="preserve">La comparación con nuestra experiencia previa no se pudo realizar por un deficiente registro en años anteriores a la implementación del protocolo. La estandarización realizada en este protocolo de </w:t>
      </w:r>
      <w:proofErr w:type="gramStart"/>
      <w:r>
        <w:t>las dosis máxima</w:t>
      </w:r>
      <w:proofErr w:type="gramEnd"/>
      <w:r>
        <w:t xml:space="preserve"> y los ciclos, contrasta con el manejo anterior donde la dosis, </w:t>
      </w:r>
      <w:r>
        <w:lastRenderedPageBreak/>
        <w:t xml:space="preserve">tiempo y ciclos quedaban a criterio de cada especialista. Por otra parte, no existía un registro de efectos adversos de forma completa para ser comparada. </w:t>
      </w:r>
    </w:p>
    <w:p w14:paraId="76647D5C" w14:textId="77777777" w:rsidR="005448E1" w:rsidRDefault="005448E1">
      <w:pPr>
        <w:spacing w:line="360" w:lineRule="auto"/>
        <w:jc w:val="both"/>
      </w:pPr>
    </w:p>
    <w:p w14:paraId="082A3A6C" w14:textId="77777777" w:rsidR="005448E1" w:rsidRDefault="00000000">
      <w:pPr>
        <w:spacing w:line="360" w:lineRule="auto"/>
        <w:jc w:val="both"/>
      </w:pPr>
      <w:r>
        <w:t>Planeamos extender nuestra experiencia y obtener resultados a largo plazo, que nos permita evaluar variables oncológicas como sobrevida libre de recurrencia y progresión.</w:t>
      </w:r>
    </w:p>
    <w:p w14:paraId="570FE86C" w14:textId="77777777" w:rsidR="005448E1" w:rsidRDefault="005448E1">
      <w:pPr>
        <w:spacing w:line="360" w:lineRule="auto"/>
        <w:jc w:val="both"/>
      </w:pPr>
    </w:p>
    <w:p w14:paraId="18545100" w14:textId="77777777" w:rsidR="005448E1" w:rsidRDefault="00000000">
      <w:pPr>
        <w:spacing w:line="360" w:lineRule="auto"/>
        <w:jc w:val="both"/>
        <w:rPr>
          <w:b/>
          <w:sz w:val="28"/>
          <w:szCs w:val="28"/>
        </w:rPr>
      </w:pPr>
      <w:r>
        <w:rPr>
          <w:b/>
          <w:sz w:val="28"/>
          <w:szCs w:val="28"/>
        </w:rPr>
        <w:t>CONCLUSIÓN</w:t>
      </w:r>
    </w:p>
    <w:p w14:paraId="75B437B3" w14:textId="77777777" w:rsidR="005448E1" w:rsidRDefault="005448E1">
      <w:pPr>
        <w:spacing w:line="360" w:lineRule="auto"/>
        <w:jc w:val="both"/>
      </w:pPr>
    </w:p>
    <w:p w14:paraId="1DC9D1E7" w14:textId="77777777" w:rsidR="005448E1" w:rsidRDefault="00000000">
      <w:pPr>
        <w:spacing w:line="360" w:lineRule="auto"/>
        <w:jc w:val="both"/>
      </w:pPr>
      <w:r>
        <w:t xml:space="preserve">El principal impacto de nuestro trabajo radica en la administración intravesical de la BCG por Urólogos, teniendo varias ventajas al respecto. Se pudo realizar un seguimiento y obtener adherencia en el 97% de los pacientes con un altísimo porcentaje de cumplimiento de tratamiento adecuado (94%) y las principales causas de tratamientos inadecuados radicaron en la progresión y falta de stock de la droga. Esto representa además una oportunidad de mejora en la coordinación y abastecimiento de la droga. Si bien existe un costo de utilizar a un especialista en la instilación vesical, el tiempo efectivo no fue más de 15 minutos al final de la jornada de procedimientos, obteniendo todos los beneficios ya mencionados. </w:t>
      </w:r>
    </w:p>
    <w:p w14:paraId="628658C4" w14:textId="77777777" w:rsidR="005448E1" w:rsidRDefault="005448E1">
      <w:pPr>
        <w:spacing w:line="360" w:lineRule="auto"/>
        <w:jc w:val="both"/>
        <w:rPr>
          <w:b/>
          <w:sz w:val="30"/>
          <w:szCs w:val="30"/>
        </w:rPr>
      </w:pPr>
    </w:p>
    <w:p w14:paraId="57084CD7" w14:textId="77777777" w:rsidR="005448E1" w:rsidRDefault="00000000">
      <w:pPr>
        <w:spacing w:line="360" w:lineRule="auto"/>
        <w:jc w:val="both"/>
        <w:rPr>
          <w:b/>
          <w:sz w:val="30"/>
          <w:szCs w:val="30"/>
        </w:rPr>
      </w:pPr>
      <w:r>
        <w:rPr>
          <w:b/>
          <w:sz w:val="30"/>
          <w:szCs w:val="30"/>
        </w:rPr>
        <w:t>REFERENCIAS</w:t>
      </w:r>
    </w:p>
    <w:p w14:paraId="7478B4AF" w14:textId="77777777" w:rsidR="005448E1" w:rsidRDefault="005448E1">
      <w:pPr>
        <w:spacing w:line="360" w:lineRule="auto"/>
        <w:jc w:val="both"/>
      </w:pPr>
    </w:p>
    <w:p w14:paraId="55B8A2F2" w14:textId="77777777" w:rsidR="005448E1" w:rsidRDefault="00000000">
      <w:pPr>
        <w:spacing w:line="360" w:lineRule="auto"/>
        <w:jc w:val="both"/>
      </w:pPr>
      <w:r>
        <w:t>1.</w:t>
      </w:r>
      <w:r>
        <w:tab/>
        <w:t xml:space="preserve">Antoni S, </w:t>
      </w:r>
      <w:proofErr w:type="spellStart"/>
      <w:r>
        <w:t>Ferlay</w:t>
      </w:r>
      <w:proofErr w:type="spellEnd"/>
      <w:r>
        <w:t xml:space="preserve"> J, </w:t>
      </w:r>
      <w:proofErr w:type="spellStart"/>
      <w:r>
        <w:t>Soerjomataram</w:t>
      </w:r>
      <w:proofErr w:type="spellEnd"/>
      <w:r>
        <w:t xml:space="preserve"> I, </w:t>
      </w:r>
      <w:proofErr w:type="spellStart"/>
      <w:r>
        <w:t>Znaor</w:t>
      </w:r>
      <w:proofErr w:type="spellEnd"/>
      <w:r>
        <w:t xml:space="preserve"> A, Jemal A, Bray F. </w:t>
      </w:r>
      <w:proofErr w:type="spellStart"/>
      <w:r>
        <w:t>Bladder</w:t>
      </w:r>
      <w:proofErr w:type="spellEnd"/>
      <w:r>
        <w:t xml:space="preserve"> </w:t>
      </w:r>
      <w:proofErr w:type="spellStart"/>
      <w:r>
        <w:t>cancer</w:t>
      </w:r>
      <w:proofErr w:type="spellEnd"/>
      <w:r>
        <w:t xml:space="preserve"> </w:t>
      </w:r>
      <w:proofErr w:type="spellStart"/>
      <w:r>
        <w:t>incidence</w:t>
      </w:r>
      <w:proofErr w:type="spellEnd"/>
      <w:r>
        <w:t xml:space="preserve"> and </w:t>
      </w:r>
      <w:proofErr w:type="spellStart"/>
      <w:r>
        <w:t>mortality</w:t>
      </w:r>
      <w:proofErr w:type="spellEnd"/>
      <w:r>
        <w:t xml:space="preserve">: a global </w:t>
      </w:r>
      <w:proofErr w:type="spellStart"/>
      <w:r>
        <w:t>overview</w:t>
      </w:r>
      <w:proofErr w:type="spellEnd"/>
      <w:r>
        <w:t xml:space="preserve"> and </w:t>
      </w:r>
      <w:proofErr w:type="spellStart"/>
      <w:r>
        <w:t>recent</w:t>
      </w:r>
      <w:proofErr w:type="spellEnd"/>
      <w:r>
        <w:t xml:space="preserve"> </w:t>
      </w:r>
      <w:proofErr w:type="spellStart"/>
      <w:r>
        <w:t>trends</w:t>
      </w:r>
      <w:proofErr w:type="spellEnd"/>
      <w:r>
        <w:t xml:space="preserve">. </w:t>
      </w:r>
      <w:proofErr w:type="spellStart"/>
      <w:r>
        <w:t>Eur</w:t>
      </w:r>
      <w:proofErr w:type="spellEnd"/>
      <w:r>
        <w:t xml:space="preserve"> </w:t>
      </w:r>
      <w:proofErr w:type="spellStart"/>
      <w:r>
        <w:t>Urol</w:t>
      </w:r>
      <w:proofErr w:type="spellEnd"/>
      <w:r>
        <w:t>. 2017;71(1):96-108.</w:t>
      </w:r>
    </w:p>
    <w:p w14:paraId="2750040B" w14:textId="77777777" w:rsidR="005448E1" w:rsidRDefault="005448E1">
      <w:pPr>
        <w:spacing w:line="360" w:lineRule="auto"/>
        <w:jc w:val="both"/>
      </w:pPr>
    </w:p>
    <w:p w14:paraId="43B7E393" w14:textId="77777777" w:rsidR="005448E1" w:rsidRDefault="00000000">
      <w:pPr>
        <w:spacing w:line="360" w:lineRule="auto"/>
        <w:jc w:val="both"/>
      </w:pPr>
      <w:r>
        <w:t>2.</w:t>
      </w:r>
      <w:r>
        <w:tab/>
        <w:t xml:space="preserve">Burger M, </w:t>
      </w:r>
      <w:proofErr w:type="spellStart"/>
      <w:r>
        <w:t>Catto</w:t>
      </w:r>
      <w:proofErr w:type="spellEnd"/>
      <w:r>
        <w:t xml:space="preserve"> JW, </w:t>
      </w:r>
      <w:proofErr w:type="spellStart"/>
      <w:r>
        <w:t>Dalbagni</w:t>
      </w:r>
      <w:proofErr w:type="spellEnd"/>
      <w:r>
        <w:t xml:space="preserve"> G, Grossman HB, </w:t>
      </w:r>
      <w:proofErr w:type="spellStart"/>
      <w:r>
        <w:t>Herr</w:t>
      </w:r>
      <w:proofErr w:type="spellEnd"/>
      <w:r>
        <w:t xml:space="preserve"> H, </w:t>
      </w:r>
      <w:proofErr w:type="spellStart"/>
      <w:r>
        <w:t>Karakiewicz</w:t>
      </w:r>
      <w:proofErr w:type="spellEnd"/>
      <w:r>
        <w:t xml:space="preserve"> P, et al. </w:t>
      </w:r>
      <w:proofErr w:type="spellStart"/>
      <w:r>
        <w:t>Epidemiology</w:t>
      </w:r>
      <w:proofErr w:type="spellEnd"/>
      <w:r>
        <w:t xml:space="preserve"> and </w:t>
      </w:r>
      <w:proofErr w:type="spellStart"/>
      <w:r>
        <w:t>risk</w:t>
      </w:r>
      <w:proofErr w:type="spellEnd"/>
      <w:r>
        <w:t xml:space="preserve"> </w:t>
      </w:r>
      <w:proofErr w:type="spellStart"/>
      <w:r>
        <w:t>factors</w:t>
      </w:r>
      <w:proofErr w:type="spellEnd"/>
      <w:r>
        <w:t xml:space="preserve"> </w:t>
      </w:r>
      <w:proofErr w:type="spellStart"/>
      <w:r>
        <w:t>of</w:t>
      </w:r>
      <w:proofErr w:type="spellEnd"/>
      <w:r>
        <w:t xml:space="preserve"> </w:t>
      </w:r>
      <w:proofErr w:type="spellStart"/>
      <w:r>
        <w:t>urothelial</w:t>
      </w:r>
      <w:proofErr w:type="spellEnd"/>
      <w:r>
        <w:t xml:space="preserve"> </w:t>
      </w:r>
      <w:proofErr w:type="spellStart"/>
      <w:r>
        <w:t>bladder</w:t>
      </w:r>
      <w:proofErr w:type="spellEnd"/>
      <w:r>
        <w:t xml:space="preserve"> </w:t>
      </w:r>
      <w:proofErr w:type="spellStart"/>
      <w:r>
        <w:t>cancer</w:t>
      </w:r>
      <w:proofErr w:type="spellEnd"/>
      <w:r>
        <w:t xml:space="preserve">. </w:t>
      </w:r>
      <w:proofErr w:type="spellStart"/>
      <w:r>
        <w:t>Eur</w:t>
      </w:r>
      <w:proofErr w:type="spellEnd"/>
      <w:r>
        <w:t xml:space="preserve"> </w:t>
      </w:r>
      <w:proofErr w:type="spellStart"/>
      <w:r>
        <w:t>Urol</w:t>
      </w:r>
      <w:proofErr w:type="spellEnd"/>
      <w:r>
        <w:t>. 2013;63(2):234-41.</w:t>
      </w:r>
    </w:p>
    <w:p w14:paraId="00A2667B" w14:textId="77777777" w:rsidR="005448E1" w:rsidRDefault="005448E1">
      <w:pPr>
        <w:spacing w:line="360" w:lineRule="auto"/>
        <w:jc w:val="both"/>
      </w:pPr>
    </w:p>
    <w:p w14:paraId="71423B9F" w14:textId="77777777" w:rsidR="005448E1" w:rsidRDefault="00000000">
      <w:pPr>
        <w:spacing w:line="360" w:lineRule="auto"/>
        <w:jc w:val="both"/>
      </w:pPr>
      <w:r>
        <w:t>3.</w:t>
      </w:r>
      <w:r>
        <w:tab/>
        <w:t xml:space="preserve">Sylvester RJ, van </w:t>
      </w:r>
      <w:proofErr w:type="spellStart"/>
      <w:r>
        <w:t>der</w:t>
      </w:r>
      <w:proofErr w:type="spellEnd"/>
      <w:r>
        <w:t xml:space="preserve"> </w:t>
      </w:r>
      <w:proofErr w:type="spellStart"/>
      <w:r>
        <w:t>Meijden</w:t>
      </w:r>
      <w:proofErr w:type="spellEnd"/>
      <w:r>
        <w:t xml:space="preserve"> AP, </w:t>
      </w:r>
      <w:proofErr w:type="spellStart"/>
      <w:r>
        <w:t>Oosterlinck</w:t>
      </w:r>
      <w:proofErr w:type="spellEnd"/>
      <w:r>
        <w:t xml:space="preserve"> W, </w:t>
      </w:r>
      <w:proofErr w:type="spellStart"/>
      <w:r>
        <w:t>Witjes</w:t>
      </w:r>
      <w:proofErr w:type="spellEnd"/>
      <w:r>
        <w:t xml:space="preserve"> JA, </w:t>
      </w:r>
      <w:proofErr w:type="spellStart"/>
      <w:r>
        <w:t>Bouffioux</w:t>
      </w:r>
      <w:proofErr w:type="spellEnd"/>
      <w:r>
        <w:t xml:space="preserve"> C, Denis L, et al. </w:t>
      </w:r>
      <w:proofErr w:type="spellStart"/>
      <w:r>
        <w:t>Predicting</w:t>
      </w:r>
      <w:proofErr w:type="spellEnd"/>
      <w:r>
        <w:t xml:space="preserve"> </w:t>
      </w:r>
      <w:proofErr w:type="spellStart"/>
      <w:r>
        <w:t>recurrence</w:t>
      </w:r>
      <w:proofErr w:type="spellEnd"/>
      <w:r>
        <w:t xml:space="preserve"> and </w:t>
      </w:r>
      <w:proofErr w:type="spellStart"/>
      <w:r>
        <w:t>progression</w:t>
      </w:r>
      <w:proofErr w:type="spellEnd"/>
      <w:r>
        <w:t xml:space="preserve"> in individual </w:t>
      </w:r>
      <w:proofErr w:type="spellStart"/>
      <w:r>
        <w:t>patients</w:t>
      </w:r>
      <w:proofErr w:type="spellEnd"/>
      <w:r>
        <w:t xml:space="preserve"> </w:t>
      </w:r>
      <w:proofErr w:type="spellStart"/>
      <w:r>
        <w:t>with</w:t>
      </w:r>
      <w:proofErr w:type="spellEnd"/>
      <w:r>
        <w:t xml:space="preserve"> </w:t>
      </w:r>
      <w:proofErr w:type="spellStart"/>
      <w:r>
        <w:t>stage</w:t>
      </w:r>
      <w:proofErr w:type="spellEnd"/>
      <w:r>
        <w:t xml:space="preserve"> Ta T1 </w:t>
      </w:r>
      <w:proofErr w:type="spellStart"/>
      <w:r>
        <w:t>bladder</w:t>
      </w:r>
      <w:proofErr w:type="spellEnd"/>
      <w:r>
        <w:t xml:space="preserve"> </w:t>
      </w:r>
      <w:proofErr w:type="spellStart"/>
      <w:r>
        <w:t>cancer</w:t>
      </w:r>
      <w:proofErr w:type="spellEnd"/>
      <w:r>
        <w:t xml:space="preserve"> </w:t>
      </w:r>
      <w:proofErr w:type="spellStart"/>
      <w:r>
        <w:t>using</w:t>
      </w:r>
      <w:proofErr w:type="spellEnd"/>
      <w:r>
        <w:t xml:space="preserve"> EORTC </w:t>
      </w:r>
      <w:proofErr w:type="spellStart"/>
      <w:r>
        <w:t>risk</w:t>
      </w:r>
      <w:proofErr w:type="spellEnd"/>
      <w:r>
        <w:t xml:space="preserve"> tables. </w:t>
      </w:r>
      <w:proofErr w:type="spellStart"/>
      <w:r>
        <w:t>Eur</w:t>
      </w:r>
      <w:proofErr w:type="spellEnd"/>
      <w:r>
        <w:t xml:space="preserve"> </w:t>
      </w:r>
      <w:proofErr w:type="spellStart"/>
      <w:r>
        <w:t>Urol</w:t>
      </w:r>
      <w:proofErr w:type="spellEnd"/>
      <w:r>
        <w:t>. 2006;49(3):466-77.</w:t>
      </w:r>
    </w:p>
    <w:p w14:paraId="14F632C9" w14:textId="77777777" w:rsidR="005448E1" w:rsidRDefault="005448E1">
      <w:pPr>
        <w:spacing w:line="360" w:lineRule="auto"/>
        <w:jc w:val="both"/>
      </w:pPr>
    </w:p>
    <w:p w14:paraId="4406F6CD" w14:textId="77777777" w:rsidR="005448E1" w:rsidRDefault="00000000">
      <w:pPr>
        <w:spacing w:line="360" w:lineRule="auto"/>
        <w:jc w:val="both"/>
      </w:pPr>
      <w:r>
        <w:t>4.</w:t>
      </w:r>
      <w:r>
        <w:tab/>
      </w:r>
      <w:proofErr w:type="spellStart"/>
      <w:r>
        <w:t>Babjuk</w:t>
      </w:r>
      <w:proofErr w:type="spellEnd"/>
      <w:r>
        <w:t xml:space="preserve"> M, Burger M, </w:t>
      </w:r>
      <w:proofErr w:type="spellStart"/>
      <w:r>
        <w:t>Comperat</w:t>
      </w:r>
      <w:proofErr w:type="spellEnd"/>
      <w:r>
        <w:t xml:space="preserve"> EM, </w:t>
      </w:r>
      <w:proofErr w:type="spellStart"/>
      <w:r>
        <w:t>Gontero</w:t>
      </w:r>
      <w:proofErr w:type="spellEnd"/>
      <w:r>
        <w:t xml:space="preserve"> P, </w:t>
      </w:r>
      <w:proofErr w:type="spellStart"/>
      <w:r>
        <w:t>Mostafid</w:t>
      </w:r>
      <w:proofErr w:type="spellEnd"/>
      <w:r>
        <w:t xml:space="preserve"> AH, Palou J, et al. </w:t>
      </w:r>
      <w:proofErr w:type="spellStart"/>
      <w:r>
        <w:t>European</w:t>
      </w:r>
      <w:proofErr w:type="spellEnd"/>
      <w:r>
        <w:t xml:space="preserve"> </w:t>
      </w:r>
      <w:proofErr w:type="spellStart"/>
      <w:r>
        <w:t>Association</w:t>
      </w:r>
      <w:proofErr w:type="spellEnd"/>
      <w:r>
        <w:t xml:space="preserve"> </w:t>
      </w:r>
      <w:proofErr w:type="spellStart"/>
      <w:r>
        <w:t>of</w:t>
      </w:r>
      <w:proofErr w:type="spellEnd"/>
      <w:r>
        <w:t xml:space="preserve"> </w:t>
      </w:r>
      <w:proofErr w:type="spellStart"/>
      <w:r>
        <w:t>Urology</w:t>
      </w:r>
      <w:proofErr w:type="spellEnd"/>
      <w:r>
        <w:t xml:space="preserve"> </w:t>
      </w:r>
      <w:proofErr w:type="spellStart"/>
      <w:r>
        <w:t>guidelines</w:t>
      </w:r>
      <w:proofErr w:type="spellEnd"/>
      <w:r>
        <w:t xml:space="preserve"> </w:t>
      </w:r>
      <w:proofErr w:type="spellStart"/>
      <w:r>
        <w:t>on</w:t>
      </w:r>
      <w:proofErr w:type="spellEnd"/>
      <w:r>
        <w:t xml:space="preserve"> non-</w:t>
      </w:r>
      <w:proofErr w:type="spellStart"/>
      <w:r>
        <w:t>muscle</w:t>
      </w:r>
      <w:proofErr w:type="spellEnd"/>
      <w:r>
        <w:t xml:space="preserve">-invasive </w:t>
      </w:r>
      <w:proofErr w:type="spellStart"/>
      <w:r>
        <w:t>bladder</w:t>
      </w:r>
      <w:proofErr w:type="spellEnd"/>
      <w:r>
        <w:t xml:space="preserve"> </w:t>
      </w:r>
      <w:proofErr w:type="spellStart"/>
      <w:r>
        <w:t>cancer</w:t>
      </w:r>
      <w:proofErr w:type="spellEnd"/>
      <w:r>
        <w:t xml:space="preserve"> (TaT1 and CIS) 2022 </w:t>
      </w:r>
      <w:proofErr w:type="spellStart"/>
      <w:r>
        <w:t>update</w:t>
      </w:r>
      <w:proofErr w:type="spellEnd"/>
      <w:r>
        <w:t xml:space="preserve">. </w:t>
      </w:r>
      <w:proofErr w:type="spellStart"/>
      <w:r>
        <w:t>Eur</w:t>
      </w:r>
      <w:proofErr w:type="spellEnd"/>
      <w:r>
        <w:t xml:space="preserve"> </w:t>
      </w:r>
      <w:proofErr w:type="spellStart"/>
      <w:r>
        <w:t>Urol</w:t>
      </w:r>
      <w:proofErr w:type="spellEnd"/>
      <w:r>
        <w:t>. 2022;81(1):75-94.</w:t>
      </w:r>
    </w:p>
    <w:p w14:paraId="5A36EFA3" w14:textId="77777777" w:rsidR="005448E1" w:rsidRDefault="005448E1">
      <w:pPr>
        <w:spacing w:line="360" w:lineRule="auto"/>
        <w:jc w:val="both"/>
      </w:pPr>
    </w:p>
    <w:p w14:paraId="08941FE7" w14:textId="77777777" w:rsidR="005448E1" w:rsidRDefault="00000000">
      <w:pPr>
        <w:spacing w:line="360" w:lineRule="auto"/>
        <w:jc w:val="both"/>
      </w:pPr>
      <w:r>
        <w:t>5.</w:t>
      </w:r>
      <w:r>
        <w:tab/>
      </w:r>
      <w:proofErr w:type="spellStart"/>
      <w:r>
        <w:t>Redelman-Sidi</w:t>
      </w:r>
      <w:proofErr w:type="spellEnd"/>
      <w:r>
        <w:t xml:space="preserve"> G, </w:t>
      </w:r>
      <w:proofErr w:type="spellStart"/>
      <w:r>
        <w:t>Glickman</w:t>
      </w:r>
      <w:proofErr w:type="spellEnd"/>
      <w:r>
        <w:t xml:space="preserve"> MS, </w:t>
      </w:r>
      <w:proofErr w:type="spellStart"/>
      <w:r>
        <w:t>Bochner</w:t>
      </w:r>
      <w:proofErr w:type="spellEnd"/>
      <w:r>
        <w:t xml:space="preserve"> BH. </w:t>
      </w:r>
      <w:proofErr w:type="spellStart"/>
      <w:r>
        <w:t>The</w:t>
      </w:r>
      <w:proofErr w:type="spellEnd"/>
      <w:r>
        <w:t xml:space="preserve"> </w:t>
      </w:r>
      <w:proofErr w:type="spellStart"/>
      <w:r>
        <w:t>mechanism</w:t>
      </w:r>
      <w:proofErr w:type="spellEnd"/>
      <w:r>
        <w:t xml:space="preserve"> </w:t>
      </w:r>
      <w:proofErr w:type="spellStart"/>
      <w:r>
        <w:t>of</w:t>
      </w:r>
      <w:proofErr w:type="spellEnd"/>
      <w:r>
        <w:t xml:space="preserve"> </w:t>
      </w:r>
      <w:proofErr w:type="spellStart"/>
      <w:r>
        <w:t>action</w:t>
      </w:r>
      <w:proofErr w:type="spellEnd"/>
      <w:r>
        <w:t xml:space="preserve"> </w:t>
      </w:r>
      <w:proofErr w:type="spellStart"/>
      <w:r>
        <w:t>of</w:t>
      </w:r>
      <w:proofErr w:type="spellEnd"/>
      <w:r>
        <w:t xml:space="preserve"> BCG </w:t>
      </w:r>
      <w:proofErr w:type="spellStart"/>
      <w:r>
        <w:t>therapy</w:t>
      </w:r>
      <w:proofErr w:type="spellEnd"/>
      <w:r>
        <w:t xml:space="preserve"> </w:t>
      </w:r>
      <w:proofErr w:type="spellStart"/>
      <w:r>
        <w:t>for</w:t>
      </w:r>
      <w:proofErr w:type="spellEnd"/>
      <w:r>
        <w:t xml:space="preserve"> </w:t>
      </w:r>
      <w:proofErr w:type="spellStart"/>
      <w:r>
        <w:t>bladder</w:t>
      </w:r>
      <w:proofErr w:type="spellEnd"/>
      <w:r>
        <w:t xml:space="preserve"> </w:t>
      </w:r>
      <w:proofErr w:type="spellStart"/>
      <w:r>
        <w:t>cancer</w:t>
      </w:r>
      <w:proofErr w:type="spellEnd"/>
      <w:r>
        <w:t xml:space="preserve">—a </w:t>
      </w:r>
      <w:proofErr w:type="spellStart"/>
      <w:r>
        <w:t>current</w:t>
      </w:r>
      <w:proofErr w:type="spellEnd"/>
      <w:r>
        <w:t xml:space="preserve"> </w:t>
      </w:r>
      <w:proofErr w:type="spellStart"/>
      <w:r>
        <w:t>perspective</w:t>
      </w:r>
      <w:proofErr w:type="spellEnd"/>
      <w:r>
        <w:t xml:space="preserve">. </w:t>
      </w:r>
      <w:proofErr w:type="spellStart"/>
      <w:r>
        <w:t>Nat</w:t>
      </w:r>
      <w:proofErr w:type="spellEnd"/>
      <w:r>
        <w:t xml:space="preserve"> </w:t>
      </w:r>
      <w:proofErr w:type="spellStart"/>
      <w:r>
        <w:t>Rev</w:t>
      </w:r>
      <w:proofErr w:type="spellEnd"/>
      <w:r>
        <w:t xml:space="preserve"> </w:t>
      </w:r>
      <w:proofErr w:type="spellStart"/>
      <w:r>
        <w:t>Urol</w:t>
      </w:r>
      <w:proofErr w:type="spellEnd"/>
      <w:r>
        <w:t>. 2014;11(3):153-62.</w:t>
      </w:r>
    </w:p>
    <w:p w14:paraId="359892AC" w14:textId="77777777" w:rsidR="005448E1" w:rsidRDefault="005448E1">
      <w:pPr>
        <w:spacing w:line="360" w:lineRule="auto"/>
        <w:jc w:val="both"/>
      </w:pPr>
    </w:p>
    <w:p w14:paraId="393F9B57" w14:textId="77777777" w:rsidR="005448E1" w:rsidRDefault="00000000">
      <w:pPr>
        <w:spacing w:line="360" w:lineRule="auto"/>
        <w:jc w:val="both"/>
      </w:pPr>
      <w:r>
        <w:lastRenderedPageBreak/>
        <w:t>6.</w:t>
      </w:r>
      <w:r>
        <w:tab/>
      </w:r>
      <w:proofErr w:type="spellStart"/>
      <w:r>
        <w:t>Lamm</w:t>
      </w:r>
      <w:proofErr w:type="spellEnd"/>
      <w:r>
        <w:t xml:space="preserve"> DL, van </w:t>
      </w:r>
      <w:proofErr w:type="spellStart"/>
      <w:r>
        <w:t>der</w:t>
      </w:r>
      <w:proofErr w:type="spellEnd"/>
      <w:r>
        <w:t xml:space="preserve"> </w:t>
      </w:r>
      <w:proofErr w:type="spellStart"/>
      <w:r>
        <w:t>Meijden</w:t>
      </w:r>
      <w:proofErr w:type="spellEnd"/>
      <w:r>
        <w:t xml:space="preserve"> PM, Morales A, </w:t>
      </w:r>
      <w:proofErr w:type="spellStart"/>
      <w:r>
        <w:t>Brosman</w:t>
      </w:r>
      <w:proofErr w:type="spellEnd"/>
      <w:r>
        <w:t xml:space="preserve"> SA, </w:t>
      </w:r>
      <w:proofErr w:type="spellStart"/>
      <w:r>
        <w:t>Catalona</w:t>
      </w:r>
      <w:proofErr w:type="spellEnd"/>
      <w:r>
        <w:t xml:space="preserve"> WJ, </w:t>
      </w:r>
      <w:proofErr w:type="spellStart"/>
      <w:r>
        <w:t>Herr</w:t>
      </w:r>
      <w:proofErr w:type="spellEnd"/>
      <w:r>
        <w:t xml:space="preserve"> HW, et al. </w:t>
      </w:r>
      <w:proofErr w:type="spellStart"/>
      <w:r>
        <w:t>Incidence</w:t>
      </w:r>
      <w:proofErr w:type="spellEnd"/>
      <w:r>
        <w:t xml:space="preserve"> and </w:t>
      </w:r>
      <w:proofErr w:type="spellStart"/>
      <w:r>
        <w:t>treatment</w:t>
      </w:r>
      <w:proofErr w:type="spellEnd"/>
      <w:r>
        <w:t xml:space="preserve"> </w:t>
      </w:r>
      <w:proofErr w:type="spellStart"/>
      <w:r>
        <w:t>of</w:t>
      </w:r>
      <w:proofErr w:type="spellEnd"/>
      <w:r>
        <w:t xml:space="preserve"> </w:t>
      </w:r>
      <w:proofErr w:type="spellStart"/>
      <w:r>
        <w:t>complications</w:t>
      </w:r>
      <w:proofErr w:type="spellEnd"/>
      <w:r>
        <w:t xml:space="preserve"> </w:t>
      </w:r>
      <w:proofErr w:type="spellStart"/>
      <w:r>
        <w:t>of</w:t>
      </w:r>
      <w:proofErr w:type="spellEnd"/>
      <w:r>
        <w:t xml:space="preserve"> </w:t>
      </w:r>
      <w:proofErr w:type="spellStart"/>
      <w:r>
        <w:t>Bacillus</w:t>
      </w:r>
      <w:proofErr w:type="spellEnd"/>
      <w:r>
        <w:t xml:space="preserve"> Calmette-Guérin intravesical </w:t>
      </w:r>
      <w:proofErr w:type="spellStart"/>
      <w:r>
        <w:t>therapy</w:t>
      </w:r>
      <w:proofErr w:type="spellEnd"/>
      <w:r>
        <w:t xml:space="preserve"> in superficial </w:t>
      </w:r>
      <w:proofErr w:type="spellStart"/>
      <w:r>
        <w:t>bladder</w:t>
      </w:r>
      <w:proofErr w:type="spellEnd"/>
      <w:r>
        <w:t xml:space="preserve"> </w:t>
      </w:r>
      <w:proofErr w:type="spellStart"/>
      <w:r>
        <w:t>cancer</w:t>
      </w:r>
      <w:proofErr w:type="spellEnd"/>
      <w:r>
        <w:t xml:space="preserve">. J </w:t>
      </w:r>
      <w:proofErr w:type="spellStart"/>
      <w:r>
        <w:t>Urol</w:t>
      </w:r>
      <w:proofErr w:type="spellEnd"/>
      <w:r>
        <w:t>. 1992;147(3):596-600.</w:t>
      </w:r>
    </w:p>
    <w:p w14:paraId="58371DB0" w14:textId="77777777" w:rsidR="005448E1" w:rsidRDefault="005448E1">
      <w:pPr>
        <w:spacing w:line="360" w:lineRule="auto"/>
        <w:jc w:val="both"/>
      </w:pPr>
    </w:p>
    <w:p w14:paraId="557AD4E8" w14:textId="77777777" w:rsidR="005448E1" w:rsidRDefault="00000000">
      <w:pPr>
        <w:spacing w:line="360" w:lineRule="auto"/>
        <w:jc w:val="both"/>
      </w:pPr>
      <w:r>
        <w:t>7.</w:t>
      </w:r>
      <w:r>
        <w:tab/>
      </w:r>
      <w:proofErr w:type="spellStart"/>
      <w:r>
        <w:t>Kamat</w:t>
      </w:r>
      <w:proofErr w:type="spellEnd"/>
      <w:r>
        <w:t xml:space="preserve"> AM, </w:t>
      </w:r>
      <w:proofErr w:type="spellStart"/>
      <w:r>
        <w:t>Flaig</w:t>
      </w:r>
      <w:proofErr w:type="spellEnd"/>
      <w:r>
        <w:t xml:space="preserve"> TW, Grossman HB, </w:t>
      </w:r>
      <w:proofErr w:type="spellStart"/>
      <w:r>
        <w:t>Konety</w:t>
      </w:r>
      <w:proofErr w:type="spellEnd"/>
      <w:r>
        <w:t xml:space="preserve"> B, </w:t>
      </w:r>
      <w:proofErr w:type="spellStart"/>
      <w:r>
        <w:t>Lamm</w:t>
      </w:r>
      <w:proofErr w:type="spellEnd"/>
      <w:r>
        <w:t xml:space="preserve"> D, O’Donnell MA, et al. </w:t>
      </w:r>
      <w:proofErr w:type="spellStart"/>
      <w:r>
        <w:t>Consensus</w:t>
      </w:r>
      <w:proofErr w:type="spellEnd"/>
      <w:r>
        <w:t xml:space="preserve"> </w:t>
      </w:r>
      <w:proofErr w:type="spellStart"/>
      <w:r>
        <w:t>statement</w:t>
      </w:r>
      <w:proofErr w:type="spellEnd"/>
      <w:r>
        <w:t xml:space="preserve"> </w:t>
      </w:r>
      <w:proofErr w:type="spellStart"/>
      <w:r>
        <w:t>on</w:t>
      </w:r>
      <w:proofErr w:type="spellEnd"/>
      <w:r>
        <w:t xml:space="preserve"> </w:t>
      </w:r>
      <w:proofErr w:type="spellStart"/>
      <w:r>
        <w:t>the</w:t>
      </w:r>
      <w:proofErr w:type="spellEnd"/>
      <w:r>
        <w:t xml:space="preserve"> use </w:t>
      </w:r>
      <w:proofErr w:type="spellStart"/>
      <w:r>
        <w:t>of</w:t>
      </w:r>
      <w:proofErr w:type="spellEnd"/>
      <w:r>
        <w:t xml:space="preserve"> BCG </w:t>
      </w:r>
      <w:proofErr w:type="spellStart"/>
      <w:r>
        <w:t>for</w:t>
      </w:r>
      <w:proofErr w:type="spellEnd"/>
      <w:r>
        <w:t xml:space="preserve"> </w:t>
      </w:r>
      <w:proofErr w:type="spellStart"/>
      <w:r>
        <w:t>bladder</w:t>
      </w:r>
      <w:proofErr w:type="spellEnd"/>
      <w:r>
        <w:t xml:space="preserve"> </w:t>
      </w:r>
      <w:proofErr w:type="spellStart"/>
      <w:r>
        <w:t>cancer</w:t>
      </w:r>
      <w:proofErr w:type="spellEnd"/>
      <w:r>
        <w:t xml:space="preserve">: BCG </w:t>
      </w:r>
      <w:proofErr w:type="spellStart"/>
      <w:r>
        <w:t>World</w:t>
      </w:r>
      <w:proofErr w:type="spellEnd"/>
      <w:r>
        <w:t xml:space="preserve"> </w:t>
      </w:r>
      <w:proofErr w:type="spellStart"/>
      <w:r>
        <w:t>Congress</w:t>
      </w:r>
      <w:proofErr w:type="spellEnd"/>
      <w:r>
        <w:t xml:space="preserve"> 2015. </w:t>
      </w:r>
      <w:proofErr w:type="spellStart"/>
      <w:r>
        <w:t>Urol</w:t>
      </w:r>
      <w:proofErr w:type="spellEnd"/>
      <w:r>
        <w:t xml:space="preserve"> Oncol. 2015;33(5):</w:t>
      </w:r>
      <w:proofErr w:type="gramStart"/>
      <w:r>
        <w:t>35.e</w:t>
      </w:r>
      <w:proofErr w:type="gramEnd"/>
      <w:r>
        <w:t>1-</w:t>
      </w:r>
      <w:proofErr w:type="gramStart"/>
      <w:r>
        <w:t>35.e</w:t>
      </w:r>
      <w:proofErr w:type="gramEnd"/>
      <w:r>
        <w:t>7.</w:t>
      </w:r>
    </w:p>
    <w:p w14:paraId="6446BEAB" w14:textId="77777777" w:rsidR="005448E1" w:rsidRDefault="005448E1">
      <w:pPr>
        <w:spacing w:line="360" w:lineRule="auto"/>
        <w:jc w:val="both"/>
      </w:pPr>
    </w:p>
    <w:p w14:paraId="090D7FAA" w14:textId="77777777" w:rsidR="005448E1" w:rsidRDefault="00000000">
      <w:pPr>
        <w:spacing w:line="360" w:lineRule="auto"/>
        <w:jc w:val="both"/>
      </w:pPr>
      <w:r>
        <w:t>8.</w:t>
      </w:r>
      <w:r>
        <w:tab/>
        <w:t xml:space="preserve">Larsen ES, </w:t>
      </w:r>
      <w:proofErr w:type="spellStart"/>
      <w:r>
        <w:t>Joensen</w:t>
      </w:r>
      <w:proofErr w:type="spellEnd"/>
      <w:r>
        <w:t xml:space="preserve"> UN, </w:t>
      </w:r>
      <w:proofErr w:type="spellStart"/>
      <w:r>
        <w:t>Poulsen</w:t>
      </w:r>
      <w:proofErr w:type="spellEnd"/>
      <w:r>
        <w:t xml:space="preserve"> AM, </w:t>
      </w:r>
      <w:proofErr w:type="spellStart"/>
      <w:r>
        <w:t>Mogensen</w:t>
      </w:r>
      <w:proofErr w:type="spellEnd"/>
      <w:r>
        <w:t xml:space="preserve"> SM, Jensen JB. Intravesical </w:t>
      </w:r>
      <w:proofErr w:type="spellStart"/>
      <w:r>
        <w:t>Bacillus</w:t>
      </w:r>
      <w:proofErr w:type="spellEnd"/>
      <w:r>
        <w:t xml:space="preserve"> Calmette-Guérin </w:t>
      </w:r>
      <w:proofErr w:type="spellStart"/>
      <w:r>
        <w:t>therapy</w:t>
      </w:r>
      <w:proofErr w:type="spellEnd"/>
      <w:r>
        <w:t xml:space="preserve">: </w:t>
      </w:r>
      <w:proofErr w:type="spellStart"/>
      <w:r>
        <w:t>adherence</w:t>
      </w:r>
      <w:proofErr w:type="spellEnd"/>
      <w:r>
        <w:t xml:space="preserve">, </w:t>
      </w:r>
      <w:proofErr w:type="spellStart"/>
      <w:r>
        <w:t>recurrence</w:t>
      </w:r>
      <w:proofErr w:type="spellEnd"/>
      <w:r>
        <w:t xml:space="preserve"> and </w:t>
      </w:r>
      <w:proofErr w:type="spellStart"/>
      <w:r>
        <w:t>progression</w:t>
      </w:r>
      <w:proofErr w:type="spellEnd"/>
      <w:r>
        <w:t xml:space="preserve"> in non-</w:t>
      </w:r>
      <w:proofErr w:type="spellStart"/>
      <w:r>
        <w:t>muscle</w:t>
      </w:r>
      <w:proofErr w:type="spellEnd"/>
      <w:r>
        <w:t xml:space="preserve"> invasive </w:t>
      </w:r>
      <w:proofErr w:type="spellStart"/>
      <w:r>
        <w:t>bladder</w:t>
      </w:r>
      <w:proofErr w:type="spellEnd"/>
      <w:r>
        <w:t xml:space="preserve"> </w:t>
      </w:r>
      <w:proofErr w:type="spellStart"/>
      <w:r>
        <w:t>cancer</w:t>
      </w:r>
      <w:proofErr w:type="spellEnd"/>
      <w:r>
        <w:t xml:space="preserve"> in </w:t>
      </w:r>
      <w:proofErr w:type="spellStart"/>
      <w:r>
        <w:t>Denmark</w:t>
      </w:r>
      <w:proofErr w:type="spellEnd"/>
      <w:r>
        <w:t xml:space="preserve">. </w:t>
      </w:r>
      <w:proofErr w:type="spellStart"/>
      <w:r>
        <w:t>Scand</w:t>
      </w:r>
      <w:proofErr w:type="spellEnd"/>
      <w:r>
        <w:t xml:space="preserve"> J </w:t>
      </w:r>
      <w:proofErr w:type="spellStart"/>
      <w:r>
        <w:t>Urol</w:t>
      </w:r>
      <w:proofErr w:type="spellEnd"/>
      <w:r>
        <w:t>. 2018;52(6):507-13.</w:t>
      </w:r>
    </w:p>
    <w:p w14:paraId="65E7528E" w14:textId="77777777" w:rsidR="005448E1" w:rsidRDefault="005448E1">
      <w:pPr>
        <w:spacing w:line="360" w:lineRule="auto"/>
        <w:jc w:val="both"/>
      </w:pPr>
    </w:p>
    <w:p w14:paraId="7656FB75" w14:textId="77777777" w:rsidR="005448E1" w:rsidRDefault="00000000">
      <w:pPr>
        <w:spacing w:line="360" w:lineRule="auto"/>
        <w:jc w:val="both"/>
      </w:pPr>
      <w:r>
        <w:t xml:space="preserve">9. </w:t>
      </w:r>
      <w:proofErr w:type="spellStart"/>
      <w:r>
        <w:rPr>
          <w:color w:val="212121"/>
          <w:highlight w:val="white"/>
        </w:rPr>
        <w:t>Gaylis</w:t>
      </w:r>
      <w:proofErr w:type="spellEnd"/>
      <w:r>
        <w:rPr>
          <w:color w:val="212121"/>
          <w:highlight w:val="white"/>
        </w:rPr>
        <w:t xml:space="preserve">, F. D., </w:t>
      </w:r>
      <w:proofErr w:type="spellStart"/>
      <w:r>
        <w:rPr>
          <w:color w:val="212121"/>
          <w:highlight w:val="white"/>
        </w:rPr>
        <w:t>Emond</w:t>
      </w:r>
      <w:proofErr w:type="spellEnd"/>
      <w:r>
        <w:rPr>
          <w:color w:val="212121"/>
          <w:highlight w:val="white"/>
        </w:rPr>
        <w:t xml:space="preserve">, B., </w:t>
      </w:r>
      <w:proofErr w:type="spellStart"/>
      <w:r>
        <w:rPr>
          <w:color w:val="212121"/>
          <w:highlight w:val="white"/>
        </w:rPr>
        <w:t>Manceur</w:t>
      </w:r>
      <w:proofErr w:type="spellEnd"/>
      <w:r>
        <w:rPr>
          <w:color w:val="212121"/>
          <w:highlight w:val="white"/>
        </w:rPr>
        <w:t xml:space="preserve">, A. M., </w:t>
      </w:r>
      <w:proofErr w:type="spellStart"/>
      <w:r>
        <w:rPr>
          <w:color w:val="212121"/>
          <w:highlight w:val="white"/>
        </w:rPr>
        <w:t>Tardif-Samson</w:t>
      </w:r>
      <w:proofErr w:type="spellEnd"/>
      <w:r>
        <w:rPr>
          <w:color w:val="212121"/>
          <w:highlight w:val="white"/>
        </w:rPr>
        <w:t xml:space="preserve">, A., Morrison, L., </w:t>
      </w:r>
      <w:proofErr w:type="spellStart"/>
      <w:r>
        <w:rPr>
          <w:color w:val="212121"/>
          <w:highlight w:val="white"/>
        </w:rPr>
        <w:t>Pilon</w:t>
      </w:r>
      <w:proofErr w:type="spellEnd"/>
      <w:r>
        <w:rPr>
          <w:color w:val="212121"/>
          <w:highlight w:val="white"/>
        </w:rPr>
        <w:t xml:space="preserve">, D., Lefebvre, P., Ellis, L. A., </w:t>
      </w:r>
      <w:proofErr w:type="spellStart"/>
      <w:r>
        <w:rPr>
          <w:color w:val="212121"/>
          <w:highlight w:val="white"/>
        </w:rPr>
        <w:t>Balaji</w:t>
      </w:r>
      <w:proofErr w:type="spellEnd"/>
      <w:r>
        <w:rPr>
          <w:color w:val="212121"/>
          <w:highlight w:val="white"/>
        </w:rPr>
        <w:t xml:space="preserve">, H., &amp; </w:t>
      </w:r>
      <w:proofErr w:type="spellStart"/>
      <w:r>
        <w:rPr>
          <w:color w:val="212121"/>
          <w:highlight w:val="white"/>
        </w:rPr>
        <w:t>Ireland</w:t>
      </w:r>
      <w:proofErr w:type="spellEnd"/>
      <w:r>
        <w:rPr>
          <w:color w:val="212121"/>
          <w:highlight w:val="white"/>
        </w:rPr>
        <w:t xml:space="preserve">, A. (2024). </w:t>
      </w:r>
      <w:proofErr w:type="spellStart"/>
      <w:r>
        <w:rPr>
          <w:color w:val="212121"/>
          <w:highlight w:val="white"/>
        </w:rPr>
        <w:t>Adherence</w:t>
      </w:r>
      <w:proofErr w:type="spellEnd"/>
      <w:r>
        <w:rPr>
          <w:color w:val="212121"/>
          <w:highlight w:val="white"/>
        </w:rPr>
        <w:t xml:space="preserve"> </w:t>
      </w:r>
      <w:proofErr w:type="spellStart"/>
      <w:r>
        <w:rPr>
          <w:color w:val="212121"/>
          <w:highlight w:val="white"/>
        </w:rPr>
        <w:t>to</w:t>
      </w:r>
      <w:proofErr w:type="spellEnd"/>
      <w:r>
        <w:rPr>
          <w:color w:val="212121"/>
          <w:highlight w:val="white"/>
        </w:rPr>
        <w:t xml:space="preserve"> </w:t>
      </w:r>
      <w:proofErr w:type="spellStart"/>
      <w:r>
        <w:rPr>
          <w:color w:val="212121"/>
          <w:highlight w:val="white"/>
        </w:rPr>
        <w:t>First</w:t>
      </w:r>
      <w:proofErr w:type="spellEnd"/>
      <w:r>
        <w:rPr>
          <w:color w:val="212121"/>
          <w:highlight w:val="white"/>
        </w:rPr>
        <w:t xml:space="preserve">-Line Intravesical </w:t>
      </w:r>
      <w:proofErr w:type="spellStart"/>
      <w:r>
        <w:rPr>
          <w:color w:val="212121"/>
          <w:highlight w:val="white"/>
        </w:rPr>
        <w:t>Bacillus</w:t>
      </w:r>
      <w:proofErr w:type="spellEnd"/>
      <w:r>
        <w:rPr>
          <w:color w:val="212121"/>
          <w:highlight w:val="white"/>
        </w:rPr>
        <w:t xml:space="preserve"> Calmette-Guérin </w:t>
      </w:r>
      <w:proofErr w:type="spellStart"/>
      <w:r>
        <w:rPr>
          <w:color w:val="212121"/>
          <w:highlight w:val="white"/>
        </w:rPr>
        <w:t>Therapy</w:t>
      </w:r>
      <w:proofErr w:type="spellEnd"/>
      <w:r>
        <w:rPr>
          <w:color w:val="212121"/>
          <w:highlight w:val="white"/>
        </w:rPr>
        <w:t xml:space="preserve"> in </w:t>
      </w:r>
      <w:proofErr w:type="spellStart"/>
      <w:r>
        <w:rPr>
          <w:color w:val="212121"/>
          <w:highlight w:val="white"/>
        </w:rPr>
        <w:t>the</w:t>
      </w:r>
      <w:proofErr w:type="spellEnd"/>
      <w:r>
        <w:rPr>
          <w:color w:val="212121"/>
          <w:highlight w:val="white"/>
        </w:rPr>
        <w:t xml:space="preserve"> </w:t>
      </w:r>
      <w:proofErr w:type="spellStart"/>
      <w:r>
        <w:rPr>
          <w:color w:val="212121"/>
          <w:highlight w:val="white"/>
        </w:rPr>
        <w:t>Context</w:t>
      </w:r>
      <w:proofErr w:type="spellEnd"/>
      <w:r>
        <w:rPr>
          <w:color w:val="212121"/>
          <w:highlight w:val="white"/>
        </w:rPr>
        <w:t xml:space="preserve"> </w:t>
      </w:r>
      <w:proofErr w:type="spellStart"/>
      <w:r>
        <w:rPr>
          <w:color w:val="212121"/>
          <w:highlight w:val="white"/>
        </w:rPr>
        <w:t>of</w:t>
      </w:r>
      <w:proofErr w:type="spellEnd"/>
      <w:r>
        <w:rPr>
          <w:color w:val="212121"/>
          <w:highlight w:val="white"/>
        </w:rPr>
        <w:t xml:space="preserve"> </w:t>
      </w:r>
      <w:proofErr w:type="spellStart"/>
      <w:r>
        <w:rPr>
          <w:color w:val="212121"/>
          <w:highlight w:val="white"/>
        </w:rPr>
        <w:t>Guideline</w:t>
      </w:r>
      <w:proofErr w:type="spellEnd"/>
      <w:r>
        <w:rPr>
          <w:color w:val="212121"/>
          <w:highlight w:val="white"/>
        </w:rPr>
        <w:t xml:space="preserve"> </w:t>
      </w:r>
      <w:proofErr w:type="spellStart"/>
      <w:r>
        <w:rPr>
          <w:color w:val="212121"/>
          <w:highlight w:val="white"/>
        </w:rPr>
        <w:t>Recommendations</w:t>
      </w:r>
      <w:proofErr w:type="spellEnd"/>
      <w:r>
        <w:rPr>
          <w:color w:val="212121"/>
          <w:highlight w:val="white"/>
        </w:rPr>
        <w:t xml:space="preserve"> </w:t>
      </w:r>
      <w:proofErr w:type="spellStart"/>
      <w:r>
        <w:rPr>
          <w:color w:val="212121"/>
          <w:highlight w:val="white"/>
        </w:rPr>
        <w:t>for</w:t>
      </w:r>
      <w:proofErr w:type="spellEnd"/>
      <w:r>
        <w:rPr>
          <w:color w:val="212121"/>
          <w:highlight w:val="white"/>
        </w:rPr>
        <w:t xml:space="preserve"> US </w:t>
      </w:r>
      <w:proofErr w:type="spellStart"/>
      <w:r>
        <w:rPr>
          <w:color w:val="212121"/>
          <w:highlight w:val="white"/>
        </w:rPr>
        <w:t>Patients</w:t>
      </w:r>
      <w:proofErr w:type="spellEnd"/>
      <w:r>
        <w:rPr>
          <w:color w:val="212121"/>
          <w:highlight w:val="white"/>
        </w:rPr>
        <w:t xml:space="preserve"> </w:t>
      </w:r>
      <w:proofErr w:type="spellStart"/>
      <w:r>
        <w:rPr>
          <w:color w:val="212121"/>
          <w:highlight w:val="white"/>
        </w:rPr>
        <w:t>With</w:t>
      </w:r>
      <w:proofErr w:type="spellEnd"/>
      <w:r>
        <w:rPr>
          <w:color w:val="212121"/>
          <w:highlight w:val="white"/>
        </w:rPr>
        <w:t xml:space="preserve"> High-</w:t>
      </w:r>
      <w:proofErr w:type="spellStart"/>
      <w:r>
        <w:rPr>
          <w:color w:val="212121"/>
          <w:highlight w:val="white"/>
        </w:rPr>
        <w:t>Risk</w:t>
      </w:r>
      <w:proofErr w:type="spellEnd"/>
      <w:r>
        <w:rPr>
          <w:color w:val="212121"/>
          <w:highlight w:val="white"/>
        </w:rPr>
        <w:t xml:space="preserve"> Non-</w:t>
      </w:r>
      <w:proofErr w:type="spellStart"/>
      <w:r>
        <w:rPr>
          <w:color w:val="212121"/>
          <w:highlight w:val="white"/>
        </w:rPr>
        <w:t>muscle</w:t>
      </w:r>
      <w:proofErr w:type="spellEnd"/>
      <w:r>
        <w:rPr>
          <w:color w:val="212121"/>
          <w:highlight w:val="white"/>
        </w:rPr>
        <w:t xml:space="preserve"> Invasive </w:t>
      </w:r>
      <w:proofErr w:type="spellStart"/>
      <w:r>
        <w:rPr>
          <w:color w:val="212121"/>
          <w:highlight w:val="white"/>
        </w:rPr>
        <w:t>Bladder</w:t>
      </w:r>
      <w:proofErr w:type="spellEnd"/>
      <w:r>
        <w:rPr>
          <w:color w:val="212121"/>
          <w:highlight w:val="white"/>
        </w:rPr>
        <w:t xml:space="preserve"> </w:t>
      </w:r>
      <w:proofErr w:type="spellStart"/>
      <w:r>
        <w:rPr>
          <w:color w:val="212121"/>
          <w:highlight w:val="white"/>
        </w:rPr>
        <w:t>Cancer</w:t>
      </w:r>
      <w:proofErr w:type="spellEnd"/>
      <w:r>
        <w:rPr>
          <w:color w:val="212121"/>
          <w:highlight w:val="white"/>
        </w:rPr>
        <w:t xml:space="preserve">. </w:t>
      </w:r>
      <w:proofErr w:type="spellStart"/>
      <w:r>
        <w:rPr>
          <w:i/>
          <w:color w:val="212121"/>
          <w:highlight w:val="white"/>
        </w:rPr>
        <w:t>Journal</w:t>
      </w:r>
      <w:proofErr w:type="spellEnd"/>
      <w:r>
        <w:rPr>
          <w:i/>
          <w:color w:val="212121"/>
          <w:highlight w:val="white"/>
        </w:rPr>
        <w:t xml:space="preserve"> </w:t>
      </w:r>
      <w:proofErr w:type="spellStart"/>
      <w:r>
        <w:rPr>
          <w:i/>
          <w:color w:val="212121"/>
          <w:highlight w:val="white"/>
        </w:rPr>
        <w:t>of</w:t>
      </w:r>
      <w:proofErr w:type="spellEnd"/>
      <w:r>
        <w:rPr>
          <w:i/>
          <w:color w:val="212121"/>
          <w:highlight w:val="white"/>
        </w:rPr>
        <w:t xml:space="preserve"> </w:t>
      </w:r>
      <w:proofErr w:type="spellStart"/>
      <w:r>
        <w:rPr>
          <w:i/>
          <w:color w:val="212121"/>
          <w:highlight w:val="white"/>
        </w:rPr>
        <w:t>health</w:t>
      </w:r>
      <w:proofErr w:type="spellEnd"/>
      <w:r>
        <w:rPr>
          <w:i/>
          <w:color w:val="212121"/>
          <w:highlight w:val="white"/>
        </w:rPr>
        <w:t xml:space="preserve"> </w:t>
      </w:r>
      <w:proofErr w:type="spellStart"/>
      <w:r>
        <w:rPr>
          <w:i/>
          <w:color w:val="212121"/>
          <w:highlight w:val="white"/>
        </w:rPr>
        <w:t>economics</w:t>
      </w:r>
      <w:proofErr w:type="spellEnd"/>
      <w:r>
        <w:rPr>
          <w:i/>
          <w:color w:val="212121"/>
          <w:highlight w:val="white"/>
        </w:rPr>
        <w:t xml:space="preserve"> and </w:t>
      </w:r>
      <w:proofErr w:type="spellStart"/>
      <w:r>
        <w:rPr>
          <w:i/>
          <w:color w:val="212121"/>
          <w:highlight w:val="white"/>
        </w:rPr>
        <w:t>outcomes</w:t>
      </w:r>
      <w:proofErr w:type="spellEnd"/>
      <w:r>
        <w:rPr>
          <w:i/>
          <w:color w:val="212121"/>
          <w:highlight w:val="white"/>
        </w:rPr>
        <w:t xml:space="preserve"> </w:t>
      </w:r>
      <w:proofErr w:type="spellStart"/>
      <w:r>
        <w:rPr>
          <w:i/>
          <w:color w:val="212121"/>
          <w:highlight w:val="white"/>
        </w:rPr>
        <w:t>research</w:t>
      </w:r>
      <w:proofErr w:type="spellEnd"/>
      <w:r>
        <w:rPr>
          <w:color w:val="212121"/>
          <w:highlight w:val="white"/>
        </w:rPr>
        <w:t xml:space="preserve">, </w:t>
      </w:r>
      <w:r>
        <w:rPr>
          <w:i/>
          <w:color w:val="212121"/>
          <w:highlight w:val="white"/>
        </w:rPr>
        <w:t>11</w:t>
      </w:r>
      <w:r>
        <w:rPr>
          <w:color w:val="212121"/>
          <w:highlight w:val="white"/>
        </w:rPr>
        <w:t>(2), 109–117. https://doi.org/10.36469/001c.124208</w:t>
      </w:r>
    </w:p>
    <w:p w14:paraId="01F9AA99" w14:textId="77777777" w:rsidR="005448E1" w:rsidRDefault="005448E1">
      <w:pPr>
        <w:spacing w:line="360" w:lineRule="auto"/>
        <w:jc w:val="both"/>
      </w:pPr>
    </w:p>
    <w:p w14:paraId="6212630E" w14:textId="77777777" w:rsidR="005448E1" w:rsidRDefault="00000000">
      <w:pPr>
        <w:spacing w:line="360" w:lineRule="auto"/>
        <w:jc w:val="both"/>
      </w:pPr>
      <w:r>
        <w:t xml:space="preserve">10. </w:t>
      </w:r>
      <w:r>
        <w:rPr>
          <w:color w:val="212121"/>
          <w:highlight w:val="white"/>
        </w:rPr>
        <w:t xml:space="preserve">Williams, S. B., Howard, L. E., Foster, M. L., </w:t>
      </w:r>
      <w:proofErr w:type="spellStart"/>
      <w:r>
        <w:rPr>
          <w:color w:val="212121"/>
          <w:highlight w:val="white"/>
        </w:rPr>
        <w:t>Klaassen</w:t>
      </w:r>
      <w:proofErr w:type="spellEnd"/>
      <w:r>
        <w:rPr>
          <w:color w:val="212121"/>
          <w:highlight w:val="white"/>
        </w:rPr>
        <w:t xml:space="preserve">, Z., </w:t>
      </w:r>
      <w:proofErr w:type="spellStart"/>
      <w:r>
        <w:rPr>
          <w:color w:val="212121"/>
          <w:highlight w:val="white"/>
        </w:rPr>
        <w:t>Sieluk</w:t>
      </w:r>
      <w:proofErr w:type="spellEnd"/>
      <w:r>
        <w:rPr>
          <w:color w:val="212121"/>
          <w:highlight w:val="white"/>
        </w:rPr>
        <w:t xml:space="preserve">, J., De </w:t>
      </w:r>
      <w:proofErr w:type="spellStart"/>
      <w:r>
        <w:rPr>
          <w:color w:val="212121"/>
          <w:highlight w:val="white"/>
        </w:rPr>
        <w:t>Hoedt</w:t>
      </w:r>
      <w:proofErr w:type="spellEnd"/>
      <w:r>
        <w:rPr>
          <w:color w:val="212121"/>
          <w:highlight w:val="white"/>
        </w:rPr>
        <w:t xml:space="preserve">, A. M., &amp; </w:t>
      </w:r>
      <w:proofErr w:type="spellStart"/>
      <w:r>
        <w:rPr>
          <w:color w:val="212121"/>
          <w:highlight w:val="white"/>
        </w:rPr>
        <w:t>Freedland</w:t>
      </w:r>
      <w:proofErr w:type="spellEnd"/>
      <w:r>
        <w:rPr>
          <w:color w:val="212121"/>
          <w:highlight w:val="white"/>
        </w:rPr>
        <w:t xml:space="preserve">, S. J. (2021). </w:t>
      </w:r>
      <w:proofErr w:type="spellStart"/>
      <w:r>
        <w:rPr>
          <w:color w:val="212121"/>
          <w:highlight w:val="white"/>
        </w:rPr>
        <w:t>Estimated</w:t>
      </w:r>
      <w:proofErr w:type="spellEnd"/>
      <w:r>
        <w:rPr>
          <w:color w:val="212121"/>
          <w:highlight w:val="white"/>
        </w:rPr>
        <w:t xml:space="preserve"> </w:t>
      </w:r>
      <w:proofErr w:type="spellStart"/>
      <w:r>
        <w:rPr>
          <w:color w:val="212121"/>
          <w:highlight w:val="white"/>
        </w:rPr>
        <w:t>Costs</w:t>
      </w:r>
      <w:proofErr w:type="spellEnd"/>
      <w:r>
        <w:rPr>
          <w:color w:val="212121"/>
          <w:highlight w:val="white"/>
        </w:rPr>
        <w:t xml:space="preserve"> and Long-</w:t>
      </w:r>
      <w:proofErr w:type="spellStart"/>
      <w:r>
        <w:rPr>
          <w:color w:val="212121"/>
          <w:highlight w:val="white"/>
        </w:rPr>
        <w:t>term</w:t>
      </w:r>
      <w:proofErr w:type="spellEnd"/>
      <w:r>
        <w:rPr>
          <w:color w:val="212121"/>
          <w:highlight w:val="white"/>
        </w:rPr>
        <w:t xml:space="preserve"> </w:t>
      </w:r>
      <w:proofErr w:type="spellStart"/>
      <w:r>
        <w:rPr>
          <w:color w:val="212121"/>
          <w:highlight w:val="white"/>
        </w:rPr>
        <w:t>Outcomes</w:t>
      </w:r>
      <w:proofErr w:type="spellEnd"/>
      <w:r>
        <w:rPr>
          <w:color w:val="212121"/>
          <w:highlight w:val="white"/>
        </w:rPr>
        <w:t xml:space="preserve"> </w:t>
      </w:r>
      <w:proofErr w:type="spellStart"/>
      <w:r>
        <w:rPr>
          <w:color w:val="212121"/>
          <w:highlight w:val="white"/>
        </w:rPr>
        <w:t>of</w:t>
      </w:r>
      <w:proofErr w:type="spellEnd"/>
      <w:r>
        <w:rPr>
          <w:color w:val="212121"/>
          <w:highlight w:val="white"/>
        </w:rPr>
        <w:t xml:space="preserve"> </w:t>
      </w:r>
      <w:proofErr w:type="spellStart"/>
      <w:r>
        <w:rPr>
          <w:color w:val="212121"/>
          <w:highlight w:val="white"/>
        </w:rPr>
        <w:t>Patients</w:t>
      </w:r>
      <w:proofErr w:type="spellEnd"/>
      <w:r>
        <w:rPr>
          <w:color w:val="212121"/>
          <w:highlight w:val="white"/>
        </w:rPr>
        <w:t xml:space="preserve"> </w:t>
      </w:r>
      <w:proofErr w:type="spellStart"/>
      <w:r>
        <w:rPr>
          <w:color w:val="212121"/>
          <w:highlight w:val="white"/>
        </w:rPr>
        <w:t>With</w:t>
      </w:r>
      <w:proofErr w:type="spellEnd"/>
      <w:r>
        <w:rPr>
          <w:color w:val="212121"/>
          <w:highlight w:val="white"/>
        </w:rPr>
        <w:t xml:space="preserve"> High-</w:t>
      </w:r>
      <w:proofErr w:type="spellStart"/>
      <w:r>
        <w:rPr>
          <w:color w:val="212121"/>
          <w:highlight w:val="white"/>
        </w:rPr>
        <w:t>Risk</w:t>
      </w:r>
      <w:proofErr w:type="spellEnd"/>
      <w:r>
        <w:rPr>
          <w:color w:val="212121"/>
          <w:highlight w:val="white"/>
        </w:rPr>
        <w:t xml:space="preserve"> Non-</w:t>
      </w:r>
      <w:proofErr w:type="spellStart"/>
      <w:r>
        <w:rPr>
          <w:color w:val="212121"/>
          <w:highlight w:val="white"/>
        </w:rPr>
        <w:t>Muscle</w:t>
      </w:r>
      <w:proofErr w:type="spellEnd"/>
      <w:r>
        <w:rPr>
          <w:color w:val="212121"/>
          <w:highlight w:val="white"/>
        </w:rPr>
        <w:t xml:space="preserve">-Invasive </w:t>
      </w:r>
      <w:proofErr w:type="spellStart"/>
      <w:r>
        <w:rPr>
          <w:color w:val="212121"/>
          <w:highlight w:val="white"/>
        </w:rPr>
        <w:t>Bladder</w:t>
      </w:r>
      <w:proofErr w:type="spellEnd"/>
      <w:r>
        <w:rPr>
          <w:color w:val="212121"/>
          <w:highlight w:val="white"/>
        </w:rPr>
        <w:t xml:space="preserve"> </w:t>
      </w:r>
      <w:proofErr w:type="spellStart"/>
      <w:r>
        <w:rPr>
          <w:color w:val="212121"/>
          <w:highlight w:val="white"/>
        </w:rPr>
        <w:t>Cancer</w:t>
      </w:r>
      <w:proofErr w:type="spellEnd"/>
      <w:r>
        <w:rPr>
          <w:color w:val="212121"/>
          <w:highlight w:val="white"/>
        </w:rPr>
        <w:t xml:space="preserve"> </w:t>
      </w:r>
      <w:proofErr w:type="spellStart"/>
      <w:r>
        <w:rPr>
          <w:color w:val="212121"/>
          <w:highlight w:val="white"/>
        </w:rPr>
        <w:t>Treated</w:t>
      </w:r>
      <w:proofErr w:type="spellEnd"/>
      <w:r>
        <w:rPr>
          <w:color w:val="212121"/>
          <w:highlight w:val="white"/>
        </w:rPr>
        <w:t xml:space="preserve"> </w:t>
      </w:r>
      <w:proofErr w:type="spellStart"/>
      <w:r>
        <w:rPr>
          <w:color w:val="212121"/>
          <w:highlight w:val="white"/>
        </w:rPr>
        <w:t>With</w:t>
      </w:r>
      <w:proofErr w:type="spellEnd"/>
      <w:r>
        <w:rPr>
          <w:color w:val="212121"/>
          <w:highlight w:val="white"/>
        </w:rPr>
        <w:t xml:space="preserve"> </w:t>
      </w:r>
      <w:proofErr w:type="spellStart"/>
      <w:r>
        <w:rPr>
          <w:color w:val="212121"/>
          <w:highlight w:val="white"/>
        </w:rPr>
        <w:t>Bacillus</w:t>
      </w:r>
      <w:proofErr w:type="spellEnd"/>
      <w:r>
        <w:rPr>
          <w:color w:val="212121"/>
          <w:highlight w:val="white"/>
        </w:rPr>
        <w:t xml:space="preserve"> Calmette-Guérin in </w:t>
      </w:r>
      <w:proofErr w:type="spellStart"/>
      <w:r>
        <w:rPr>
          <w:color w:val="212121"/>
          <w:highlight w:val="white"/>
        </w:rPr>
        <w:t>the</w:t>
      </w:r>
      <w:proofErr w:type="spellEnd"/>
      <w:r>
        <w:rPr>
          <w:color w:val="212121"/>
          <w:highlight w:val="white"/>
        </w:rPr>
        <w:t xml:space="preserve"> </w:t>
      </w:r>
      <w:proofErr w:type="spellStart"/>
      <w:r>
        <w:rPr>
          <w:color w:val="212121"/>
          <w:highlight w:val="white"/>
        </w:rPr>
        <w:t>Veterans</w:t>
      </w:r>
      <w:proofErr w:type="spellEnd"/>
      <w:r>
        <w:rPr>
          <w:color w:val="212121"/>
          <w:highlight w:val="white"/>
        </w:rPr>
        <w:t xml:space="preserve"> </w:t>
      </w:r>
      <w:proofErr w:type="spellStart"/>
      <w:r>
        <w:rPr>
          <w:color w:val="212121"/>
          <w:highlight w:val="white"/>
        </w:rPr>
        <w:t>Affairs</w:t>
      </w:r>
      <w:proofErr w:type="spellEnd"/>
      <w:r>
        <w:rPr>
          <w:color w:val="212121"/>
          <w:highlight w:val="white"/>
        </w:rPr>
        <w:t xml:space="preserve"> </w:t>
      </w:r>
      <w:proofErr w:type="spellStart"/>
      <w:r>
        <w:rPr>
          <w:color w:val="212121"/>
          <w:highlight w:val="white"/>
        </w:rPr>
        <w:t>Health</w:t>
      </w:r>
      <w:proofErr w:type="spellEnd"/>
      <w:r>
        <w:rPr>
          <w:color w:val="212121"/>
          <w:highlight w:val="white"/>
        </w:rPr>
        <w:t xml:space="preserve"> </w:t>
      </w:r>
      <w:proofErr w:type="spellStart"/>
      <w:r>
        <w:rPr>
          <w:color w:val="212121"/>
          <w:highlight w:val="white"/>
        </w:rPr>
        <w:t>System</w:t>
      </w:r>
      <w:proofErr w:type="spellEnd"/>
      <w:r>
        <w:rPr>
          <w:color w:val="212121"/>
          <w:highlight w:val="white"/>
        </w:rPr>
        <w:t xml:space="preserve">. </w:t>
      </w:r>
      <w:r>
        <w:rPr>
          <w:i/>
          <w:color w:val="212121"/>
          <w:highlight w:val="white"/>
        </w:rPr>
        <w:t xml:space="preserve">JAMA </w:t>
      </w:r>
      <w:proofErr w:type="spellStart"/>
      <w:r>
        <w:rPr>
          <w:i/>
          <w:color w:val="212121"/>
          <w:highlight w:val="white"/>
        </w:rPr>
        <w:t>network</w:t>
      </w:r>
      <w:proofErr w:type="spellEnd"/>
      <w:r>
        <w:rPr>
          <w:i/>
          <w:color w:val="212121"/>
          <w:highlight w:val="white"/>
        </w:rPr>
        <w:t xml:space="preserve"> open</w:t>
      </w:r>
      <w:r>
        <w:rPr>
          <w:color w:val="212121"/>
          <w:highlight w:val="white"/>
        </w:rPr>
        <w:t xml:space="preserve">, </w:t>
      </w:r>
      <w:r>
        <w:rPr>
          <w:i/>
          <w:color w:val="212121"/>
          <w:highlight w:val="white"/>
        </w:rPr>
        <w:t>4</w:t>
      </w:r>
      <w:r>
        <w:rPr>
          <w:color w:val="212121"/>
          <w:highlight w:val="white"/>
        </w:rPr>
        <w:t>(3), e213800.</w:t>
      </w:r>
    </w:p>
    <w:p w14:paraId="766F081F" w14:textId="77777777" w:rsidR="005448E1" w:rsidRDefault="005448E1">
      <w:pPr>
        <w:spacing w:line="360" w:lineRule="auto"/>
        <w:jc w:val="both"/>
      </w:pPr>
    </w:p>
    <w:p w14:paraId="1C977DA8" w14:textId="77777777" w:rsidR="005448E1" w:rsidRDefault="00000000">
      <w:pPr>
        <w:spacing w:line="360" w:lineRule="auto"/>
        <w:jc w:val="both"/>
      </w:pPr>
      <w:r>
        <w:t>11.</w:t>
      </w:r>
      <w:r>
        <w:tab/>
        <w:t xml:space="preserve">Sylvester RJ, van </w:t>
      </w:r>
      <w:proofErr w:type="spellStart"/>
      <w:r>
        <w:t>der</w:t>
      </w:r>
      <w:proofErr w:type="spellEnd"/>
      <w:r>
        <w:t xml:space="preserve"> </w:t>
      </w:r>
      <w:proofErr w:type="spellStart"/>
      <w:r>
        <w:t>Meijden</w:t>
      </w:r>
      <w:proofErr w:type="spellEnd"/>
      <w:r>
        <w:t xml:space="preserve"> AP, </w:t>
      </w:r>
      <w:proofErr w:type="spellStart"/>
      <w:r>
        <w:t>Witjes</w:t>
      </w:r>
      <w:proofErr w:type="spellEnd"/>
      <w:r>
        <w:t xml:space="preserve"> JA, </w:t>
      </w:r>
      <w:proofErr w:type="spellStart"/>
      <w:r>
        <w:t>Jakse</w:t>
      </w:r>
      <w:proofErr w:type="spellEnd"/>
      <w:r>
        <w:t xml:space="preserve"> G, </w:t>
      </w:r>
      <w:proofErr w:type="spellStart"/>
      <w:r>
        <w:t>Kurth</w:t>
      </w:r>
      <w:proofErr w:type="spellEnd"/>
      <w:r>
        <w:t xml:space="preserve"> K, </w:t>
      </w:r>
      <w:proofErr w:type="spellStart"/>
      <w:r>
        <w:t>Bouffioux</w:t>
      </w:r>
      <w:proofErr w:type="spellEnd"/>
      <w:r>
        <w:t xml:space="preserve"> C. High-grade Ta </w:t>
      </w:r>
      <w:proofErr w:type="spellStart"/>
      <w:r>
        <w:t>urothelial</w:t>
      </w:r>
      <w:proofErr w:type="spellEnd"/>
      <w:r>
        <w:t xml:space="preserve"> carcinoma and carcinoma in situ </w:t>
      </w:r>
      <w:proofErr w:type="spellStart"/>
      <w:r>
        <w:t>of</w:t>
      </w:r>
      <w:proofErr w:type="spellEnd"/>
      <w:r>
        <w:t xml:space="preserve"> </w:t>
      </w:r>
      <w:proofErr w:type="spellStart"/>
      <w:r>
        <w:t>the</w:t>
      </w:r>
      <w:proofErr w:type="spellEnd"/>
      <w:r>
        <w:t xml:space="preserve"> </w:t>
      </w:r>
      <w:proofErr w:type="spellStart"/>
      <w:r>
        <w:t>bladder</w:t>
      </w:r>
      <w:proofErr w:type="spellEnd"/>
      <w:r>
        <w:t xml:space="preserve">. </w:t>
      </w:r>
      <w:proofErr w:type="spellStart"/>
      <w:r>
        <w:t>Urol</w:t>
      </w:r>
      <w:proofErr w:type="spellEnd"/>
      <w:r>
        <w:t xml:space="preserve"> Oncol. 2010;28(1):93-5.</w:t>
      </w:r>
    </w:p>
    <w:p w14:paraId="7ABC5B30" w14:textId="77777777" w:rsidR="005448E1" w:rsidRDefault="005448E1">
      <w:pPr>
        <w:spacing w:line="360" w:lineRule="auto"/>
        <w:jc w:val="both"/>
      </w:pPr>
    </w:p>
    <w:p w14:paraId="27033361" w14:textId="77777777" w:rsidR="005448E1" w:rsidRDefault="00000000">
      <w:pPr>
        <w:spacing w:line="360" w:lineRule="auto"/>
        <w:jc w:val="both"/>
        <w:rPr>
          <w:sz w:val="20"/>
          <w:szCs w:val="20"/>
        </w:rPr>
      </w:pPr>
      <w:proofErr w:type="gramStart"/>
      <w:r>
        <w:t>12 .</w:t>
      </w:r>
      <w:proofErr w:type="gramEnd"/>
      <w:r>
        <w:rPr>
          <w:sz w:val="20"/>
          <w:szCs w:val="20"/>
        </w:rPr>
        <w:t xml:space="preserve">  </w:t>
      </w:r>
      <w:proofErr w:type="spellStart"/>
      <w:r>
        <w:rPr>
          <w:color w:val="212121"/>
          <w:highlight w:val="white"/>
        </w:rPr>
        <w:t>Roumiguié</w:t>
      </w:r>
      <w:proofErr w:type="spellEnd"/>
      <w:r>
        <w:rPr>
          <w:color w:val="212121"/>
          <w:highlight w:val="white"/>
        </w:rPr>
        <w:t xml:space="preserve">, M., </w:t>
      </w:r>
      <w:proofErr w:type="spellStart"/>
      <w:r>
        <w:rPr>
          <w:color w:val="212121"/>
          <w:highlight w:val="white"/>
        </w:rPr>
        <w:t>Kamat</w:t>
      </w:r>
      <w:proofErr w:type="spellEnd"/>
      <w:r>
        <w:rPr>
          <w:color w:val="212121"/>
          <w:highlight w:val="white"/>
        </w:rPr>
        <w:t xml:space="preserve">, A. M., </w:t>
      </w:r>
      <w:proofErr w:type="spellStart"/>
      <w:r>
        <w:rPr>
          <w:color w:val="212121"/>
          <w:highlight w:val="white"/>
        </w:rPr>
        <w:t>Bivalacqua</w:t>
      </w:r>
      <w:proofErr w:type="spellEnd"/>
      <w:r>
        <w:rPr>
          <w:color w:val="212121"/>
          <w:highlight w:val="white"/>
        </w:rPr>
        <w:t xml:space="preserve">, T. J., Lerner, S. P., </w:t>
      </w:r>
      <w:proofErr w:type="spellStart"/>
      <w:r>
        <w:rPr>
          <w:color w:val="212121"/>
          <w:highlight w:val="white"/>
        </w:rPr>
        <w:t>Kassouf</w:t>
      </w:r>
      <w:proofErr w:type="spellEnd"/>
      <w:r>
        <w:rPr>
          <w:color w:val="212121"/>
          <w:highlight w:val="white"/>
        </w:rPr>
        <w:t xml:space="preserve">, W., </w:t>
      </w:r>
      <w:proofErr w:type="spellStart"/>
      <w:r>
        <w:rPr>
          <w:color w:val="212121"/>
          <w:highlight w:val="white"/>
        </w:rPr>
        <w:t>Böhle</w:t>
      </w:r>
      <w:proofErr w:type="spellEnd"/>
      <w:r>
        <w:rPr>
          <w:color w:val="212121"/>
          <w:highlight w:val="white"/>
        </w:rPr>
        <w:t xml:space="preserve">, A., </w:t>
      </w:r>
      <w:proofErr w:type="spellStart"/>
      <w:r>
        <w:rPr>
          <w:color w:val="212121"/>
          <w:highlight w:val="white"/>
        </w:rPr>
        <w:t>Brausi</w:t>
      </w:r>
      <w:proofErr w:type="spellEnd"/>
      <w:r>
        <w:rPr>
          <w:color w:val="212121"/>
          <w:highlight w:val="white"/>
        </w:rPr>
        <w:t xml:space="preserve">, M., Buckley, R., </w:t>
      </w:r>
      <w:proofErr w:type="spellStart"/>
      <w:r>
        <w:rPr>
          <w:color w:val="212121"/>
          <w:highlight w:val="white"/>
        </w:rPr>
        <w:t>Persad</w:t>
      </w:r>
      <w:proofErr w:type="spellEnd"/>
      <w:r>
        <w:rPr>
          <w:color w:val="212121"/>
          <w:highlight w:val="white"/>
        </w:rPr>
        <w:t xml:space="preserve">, R., </w:t>
      </w:r>
      <w:proofErr w:type="spellStart"/>
      <w:r>
        <w:rPr>
          <w:color w:val="212121"/>
          <w:highlight w:val="white"/>
        </w:rPr>
        <w:t>Colombel</w:t>
      </w:r>
      <w:proofErr w:type="spellEnd"/>
      <w:r>
        <w:rPr>
          <w:color w:val="212121"/>
          <w:highlight w:val="white"/>
        </w:rPr>
        <w:t xml:space="preserve">, M., </w:t>
      </w:r>
      <w:proofErr w:type="spellStart"/>
      <w:r>
        <w:rPr>
          <w:color w:val="212121"/>
          <w:highlight w:val="white"/>
        </w:rPr>
        <w:t>Lamm</w:t>
      </w:r>
      <w:proofErr w:type="spellEnd"/>
      <w:r>
        <w:rPr>
          <w:color w:val="212121"/>
          <w:highlight w:val="white"/>
        </w:rPr>
        <w:t>, D., Palou-</w:t>
      </w:r>
      <w:proofErr w:type="spellStart"/>
      <w:r>
        <w:rPr>
          <w:color w:val="212121"/>
          <w:highlight w:val="white"/>
        </w:rPr>
        <w:t>Redorta</w:t>
      </w:r>
      <w:proofErr w:type="spellEnd"/>
      <w:r>
        <w:rPr>
          <w:color w:val="212121"/>
          <w:highlight w:val="white"/>
        </w:rPr>
        <w:t xml:space="preserve">, J., </w:t>
      </w:r>
      <w:proofErr w:type="spellStart"/>
      <w:r>
        <w:rPr>
          <w:color w:val="212121"/>
          <w:highlight w:val="white"/>
        </w:rPr>
        <w:t>Soloway</w:t>
      </w:r>
      <w:proofErr w:type="spellEnd"/>
      <w:r>
        <w:rPr>
          <w:color w:val="212121"/>
          <w:highlight w:val="white"/>
        </w:rPr>
        <w:t xml:space="preserve">, M., </w:t>
      </w:r>
      <w:proofErr w:type="spellStart"/>
      <w:r>
        <w:rPr>
          <w:color w:val="212121"/>
          <w:highlight w:val="white"/>
        </w:rPr>
        <w:t>Brothers</w:t>
      </w:r>
      <w:proofErr w:type="spellEnd"/>
      <w:r>
        <w:rPr>
          <w:color w:val="212121"/>
          <w:highlight w:val="white"/>
        </w:rPr>
        <w:t xml:space="preserve">, K., Steinberg, G., </w:t>
      </w:r>
      <w:proofErr w:type="spellStart"/>
      <w:r>
        <w:rPr>
          <w:color w:val="212121"/>
          <w:highlight w:val="white"/>
        </w:rPr>
        <w:t>Lotan</w:t>
      </w:r>
      <w:proofErr w:type="spellEnd"/>
      <w:r>
        <w:rPr>
          <w:color w:val="212121"/>
          <w:highlight w:val="white"/>
        </w:rPr>
        <w:t xml:space="preserve">, Y., Sylvester, R., Alfred </w:t>
      </w:r>
      <w:proofErr w:type="spellStart"/>
      <w:r>
        <w:rPr>
          <w:color w:val="212121"/>
          <w:highlight w:val="white"/>
        </w:rPr>
        <w:t>Witjes</w:t>
      </w:r>
      <w:proofErr w:type="spellEnd"/>
      <w:r>
        <w:rPr>
          <w:color w:val="212121"/>
          <w:highlight w:val="white"/>
        </w:rPr>
        <w:t xml:space="preserve">, J., &amp; Black, P. C. (2022). International </w:t>
      </w:r>
      <w:proofErr w:type="spellStart"/>
      <w:r>
        <w:rPr>
          <w:color w:val="212121"/>
          <w:highlight w:val="white"/>
        </w:rPr>
        <w:t>Bladder</w:t>
      </w:r>
      <w:proofErr w:type="spellEnd"/>
      <w:r>
        <w:rPr>
          <w:color w:val="212121"/>
          <w:highlight w:val="white"/>
        </w:rPr>
        <w:t xml:space="preserve"> </w:t>
      </w:r>
      <w:proofErr w:type="spellStart"/>
      <w:r>
        <w:rPr>
          <w:color w:val="212121"/>
          <w:highlight w:val="white"/>
        </w:rPr>
        <w:t>Cancer</w:t>
      </w:r>
      <w:proofErr w:type="spellEnd"/>
      <w:r>
        <w:rPr>
          <w:color w:val="212121"/>
          <w:highlight w:val="white"/>
        </w:rPr>
        <w:t xml:space="preserve"> </w:t>
      </w:r>
      <w:proofErr w:type="spellStart"/>
      <w:r>
        <w:rPr>
          <w:color w:val="212121"/>
          <w:highlight w:val="white"/>
        </w:rPr>
        <w:t>Group</w:t>
      </w:r>
      <w:proofErr w:type="spellEnd"/>
      <w:r>
        <w:rPr>
          <w:color w:val="212121"/>
          <w:highlight w:val="white"/>
        </w:rPr>
        <w:t xml:space="preserve"> </w:t>
      </w:r>
      <w:proofErr w:type="spellStart"/>
      <w:r>
        <w:rPr>
          <w:color w:val="212121"/>
          <w:highlight w:val="white"/>
        </w:rPr>
        <w:t>Consensus</w:t>
      </w:r>
      <w:proofErr w:type="spellEnd"/>
      <w:r>
        <w:rPr>
          <w:color w:val="212121"/>
          <w:highlight w:val="white"/>
        </w:rPr>
        <w:t xml:space="preserve"> </w:t>
      </w:r>
      <w:proofErr w:type="spellStart"/>
      <w:r>
        <w:rPr>
          <w:color w:val="212121"/>
          <w:highlight w:val="white"/>
        </w:rPr>
        <w:t>Statement</w:t>
      </w:r>
      <w:proofErr w:type="spellEnd"/>
      <w:r>
        <w:rPr>
          <w:color w:val="212121"/>
          <w:highlight w:val="white"/>
        </w:rPr>
        <w:t xml:space="preserve"> </w:t>
      </w:r>
      <w:proofErr w:type="spellStart"/>
      <w:r>
        <w:rPr>
          <w:color w:val="212121"/>
          <w:highlight w:val="white"/>
        </w:rPr>
        <w:t>on</w:t>
      </w:r>
      <w:proofErr w:type="spellEnd"/>
      <w:r>
        <w:rPr>
          <w:color w:val="212121"/>
          <w:highlight w:val="white"/>
        </w:rPr>
        <w:t xml:space="preserve"> </w:t>
      </w:r>
      <w:proofErr w:type="spellStart"/>
      <w:r>
        <w:rPr>
          <w:color w:val="212121"/>
          <w:highlight w:val="white"/>
        </w:rPr>
        <w:t>Clinical</w:t>
      </w:r>
      <w:proofErr w:type="spellEnd"/>
      <w:r>
        <w:rPr>
          <w:color w:val="212121"/>
          <w:highlight w:val="white"/>
        </w:rPr>
        <w:t xml:space="preserve"> Trial </w:t>
      </w:r>
      <w:proofErr w:type="spellStart"/>
      <w:r>
        <w:rPr>
          <w:color w:val="212121"/>
          <w:highlight w:val="white"/>
        </w:rPr>
        <w:t>Design</w:t>
      </w:r>
      <w:proofErr w:type="spellEnd"/>
      <w:r>
        <w:rPr>
          <w:color w:val="212121"/>
          <w:highlight w:val="white"/>
        </w:rPr>
        <w:t xml:space="preserve"> </w:t>
      </w:r>
      <w:proofErr w:type="spellStart"/>
      <w:r>
        <w:rPr>
          <w:color w:val="212121"/>
          <w:highlight w:val="white"/>
        </w:rPr>
        <w:t>for</w:t>
      </w:r>
      <w:proofErr w:type="spellEnd"/>
      <w:r>
        <w:rPr>
          <w:color w:val="212121"/>
          <w:highlight w:val="white"/>
        </w:rPr>
        <w:t xml:space="preserve"> </w:t>
      </w:r>
      <w:proofErr w:type="spellStart"/>
      <w:r>
        <w:rPr>
          <w:color w:val="212121"/>
          <w:highlight w:val="white"/>
        </w:rPr>
        <w:t>Patients</w:t>
      </w:r>
      <w:proofErr w:type="spellEnd"/>
      <w:r>
        <w:rPr>
          <w:color w:val="212121"/>
          <w:highlight w:val="white"/>
        </w:rPr>
        <w:t xml:space="preserve"> </w:t>
      </w:r>
      <w:proofErr w:type="spellStart"/>
      <w:r>
        <w:rPr>
          <w:color w:val="212121"/>
          <w:highlight w:val="white"/>
        </w:rPr>
        <w:t>with</w:t>
      </w:r>
      <w:proofErr w:type="spellEnd"/>
      <w:r>
        <w:rPr>
          <w:color w:val="212121"/>
          <w:highlight w:val="white"/>
        </w:rPr>
        <w:t xml:space="preserve"> </w:t>
      </w:r>
      <w:proofErr w:type="spellStart"/>
      <w:r>
        <w:rPr>
          <w:color w:val="212121"/>
          <w:highlight w:val="white"/>
        </w:rPr>
        <w:t>Bacillus</w:t>
      </w:r>
      <w:proofErr w:type="spellEnd"/>
      <w:r>
        <w:rPr>
          <w:color w:val="212121"/>
          <w:highlight w:val="white"/>
        </w:rPr>
        <w:t xml:space="preserve"> Calmette-Guérin-</w:t>
      </w:r>
      <w:proofErr w:type="spellStart"/>
      <w:r>
        <w:rPr>
          <w:color w:val="212121"/>
          <w:highlight w:val="white"/>
        </w:rPr>
        <w:t>exposed</w:t>
      </w:r>
      <w:proofErr w:type="spellEnd"/>
      <w:r>
        <w:rPr>
          <w:color w:val="212121"/>
          <w:highlight w:val="white"/>
        </w:rPr>
        <w:t xml:space="preserve"> High-</w:t>
      </w:r>
      <w:proofErr w:type="spellStart"/>
      <w:r>
        <w:rPr>
          <w:color w:val="212121"/>
          <w:highlight w:val="white"/>
        </w:rPr>
        <w:t>risk</w:t>
      </w:r>
      <w:proofErr w:type="spellEnd"/>
      <w:r>
        <w:rPr>
          <w:color w:val="212121"/>
          <w:highlight w:val="white"/>
        </w:rPr>
        <w:t xml:space="preserve"> Non-</w:t>
      </w:r>
      <w:proofErr w:type="spellStart"/>
      <w:r>
        <w:rPr>
          <w:color w:val="212121"/>
          <w:highlight w:val="white"/>
        </w:rPr>
        <w:t>muscle</w:t>
      </w:r>
      <w:proofErr w:type="spellEnd"/>
      <w:r>
        <w:rPr>
          <w:color w:val="212121"/>
          <w:highlight w:val="white"/>
        </w:rPr>
        <w:t xml:space="preserve">-invasive </w:t>
      </w:r>
      <w:proofErr w:type="spellStart"/>
      <w:r>
        <w:rPr>
          <w:color w:val="212121"/>
          <w:highlight w:val="white"/>
        </w:rPr>
        <w:t>Bladder</w:t>
      </w:r>
      <w:proofErr w:type="spellEnd"/>
      <w:r>
        <w:rPr>
          <w:color w:val="212121"/>
          <w:highlight w:val="white"/>
        </w:rPr>
        <w:t xml:space="preserve"> </w:t>
      </w:r>
      <w:proofErr w:type="spellStart"/>
      <w:r>
        <w:rPr>
          <w:color w:val="212121"/>
          <w:highlight w:val="white"/>
        </w:rPr>
        <w:t>Cancer</w:t>
      </w:r>
      <w:proofErr w:type="spellEnd"/>
      <w:r>
        <w:rPr>
          <w:color w:val="212121"/>
          <w:highlight w:val="white"/>
        </w:rPr>
        <w:t xml:space="preserve">. </w:t>
      </w:r>
      <w:proofErr w:type="spellStart"/>
      <w:r>
        <w:rPr>
          <w:i/>
          <w:color w:val="212121"/>
          <w:highlight w:val="white"/>
        </w:rPr>
        <w:t>European</w:t>
      </w:r>
      <w:proofErr w:type="spellEnd"/>
      <w:r>
        <w:rPr>
          <w:i/>
          <w:color w:val="212121"/>
          <w:highlight w:val="white"/>
        </w:rPr>
        <w:t xml:space="preserve"> </w:t>
      </w:r>
      <w:proofErr w:type="spellStart"/>
      <w:r>
        <w:rPr>
          <w:i/>
          <w:color w:val="212121"/>
          <w:highlight w:val="white"/>
        </w:rPr>
        <w:t>urology</w:t>
      </w:r>
      <w:proofErr w:type="spellEnd"/>
      <w:r>
        <w:rPr>
          <w:color w:val="212121"/>
          <w:highlight w:val="white"/>
        </w:rPr>
        <w:t xml:space="preserve">, </w:t>
      </w:r>
      <w:r>
        <w:rPr>
          <w:i/>
          <w:color w:val="212121"/>
          <w:highlight w:val="white"/>
        </w:rPr>
        <w:t>82</w:t>
      </w:r>
      <w:r>
        <w:rPr>
          <w:color w:val="212121"/>
          <w:highlight w:val="white"/>
        </w:rPr>
        <w:t>(1), 34–46. https://doi.org/10.1016/j.eururo.2021.12.005</w:t>
      </w:r>
    </w:p>
    <w:p w14:paraId="40D6DC24" w14:textId="77777777" w:rsidR="005448E1" w:rsidRDefault="005448E1">
      <w:pPr>
        <w:spacing w:line="360" w:lineRule="auto"/>
      </w:pPr>
    </w:p>
    <w:p w14:paraId="0DC82AFF" w14:textId="77777777" w:rsidR="005448E1" w:rsidRDefault="00000000">
      <w:pPr>
        <w:spacing w:line="360" w:lineRule="auto"/>
        <w:jc w:val="both"/>
      </w:pPr>
      <w:r>
        <w:t xml:space="preserve">13. Sylvester RJ, et al </w:t>
      </w:r>
      <w:proofErr w:type="spellStart"/>
      <w:r>
        <w:t>Predicting</w:t>
      </w:r>
      <w:proofErr w:type="spellEnd"/>
      <w:r>
        <w:t xml:space="preserve"> </w:t>
      </w:r>
      <w:proofErr w:type="spellStart"/>
      <w:r>
        <w:t>recurrence</w:t>
      </w:r>
      <w:proofErr w:type="spellEnd"/>
      <w:r>
        <w:t xml:space="preserve"> and </w:t>
      </w:r>
      <w:proofErr w:type="spellStart"/>
      <w:r>
        <w:t>progression</w:t>
      </w:r>
      <w:proofErr w:type="spellEnd"/>
      <w:r>
        <w:t xml:space="preserve"> in individual </w:t>
      </w:r>
      <w:proofErr w:type="spellStart"/>
      <w:r>
        <w:t>patients</w:t>
      </w:r>
      <w:proofErr w:type="spellEnd"/>
      <w:r>
        <w:t xml:space="preserve"> </w:t>
      </w:r>
      <w:proofErr w:type="spellStart"/>
      <w:r>
        <w:t>with</w:t>
      </w:r>
      <w:proofErr w:type="spellEnd"/>
      <w:r>
        <w:t xml:space="preserve"> </w:t>
      </w:r>
      <w:proofErr w:type="spellStart"/>
      <w:r>
        <w:t>stage</w:t>
      </w:r>
      <w:proofErr w:type="spellEnd"/>
      <w:r>
        <w:t xml:space="preserve"> Ta T1 </w:t>
      </w:r>
      <w:proofErr w:type="spellStart"/>
      <w:r>
        <w:t>bladder</w:t>
      </w:r>
      <w:proofErr w:type="spellEnd"/>
      <w:r>
        <w:t xml:space="preserve"> </w:t>
      </w:r>
      <w:proofErr w:type="spellStart"/>
      <w:r>
        <w:t>cancer</w:t>
      </w:r>
      <w:proofErr w:type="spellEnd"/>
      <w:r>
        <w:t xml:space="preserve"> </w:t>
      </w:r>
      <w:proofErr w:type="spellStart"/>
      <w:r>
        <w:t>using</w:t>
      </w:r>
      <w:proofErr w:type="spellEnd"/>
      <w:r>
        <w:t xml:space="preserve"> EORTC </w:t>
      </w:r>
      <w:proofErr w:type="spellStart"/>
      <w:r>
        <w:t>risk</w:t>
      </w:r>
      <w:proofErr w:type="spellEnd"/>
      <w:r>
        <w:t xml:space="preserve"> tables. J </w:t>
      </w:r>
      <w:proofErr w:type="spellStart"/>
      <w:r>
        <w:t>Urol</w:t>
      </w:r>
      <w:proofErr w:type="spellEnd"/>
      <w:r>
        <w:t>. 2006;175(2):555-560.</w:t>
      </w:r>
    </w:p>
    <w:p w14:paraId="53262AEA" w14:textId="77777777" w:rsidR="005448E1" w:rsidRDefault="005448E1">
      <w:pPr>
        <w:spacing w:line="360" w:lineRule="auto"/>
        <w:jc w:val="both"/>
      </w:pPr>
    </w:p>
    <w:p w14:paraId="7A492846" w14:textId="77777777" w:rsidR="005448E1" w:rsidRDefault="00000000">
      <w:pPr>
        <w:spacing w:line="360" w:lineRule="auto"/>
        <w:jc w:val="both"/>
      </w:pPr>
      <w:r>
        <w:lastRenderedPageBreak/>
        <w:t xml:space="preserve">14. </w:t>
      </w:r>
      <w:proofErr w:type="spellStart"/>
      <w:r>
        <w:t>Gotto</w:t>
      </w:r>
      <w:proofErr w:type="spellEnd"/>
      <w:r>
        <w:t xml:space="preserve"> G, et al Care </w:t>
      </w:r>
      <w:proofErr w:type="spellStart"/>
      <w:r>
        <w:t>patterns</w:t>
      </w:r>
      <w:proofErr w:type="spellEnd"/>
      <w:r>
        <w:t xml:space="preserve"> and </w:t>
      </w:r>
      <w:proofErr w:type="spellStart"/>
      <w:r>
        <w:t>outcomes</w:t>
      </w:r>
      <w:proofErr w:type="spellEnd"/>
      <w:r>
        <w:t xml:space="preserve"> in </w:t>
      </w:r>
      <w:proofErr w:type="spellStart"/>
      <w:r>
        <w:t>patients</w:t>
      </w:r>
      <w:proofErr w:type="spellEnd"/>
      <w:r>
        <w:t xml:space="preserve"> </w:t>
      </w:r>
      <w:proofErr w:type="spellStart"/>
      <w:r>
        <w:t>with</w:t>
      </w:r>
      <w:proofErr w:type="spellEnd"/>
      <w:r>
        <w:t xml:space="preserve"> </w:t>
      </w:r>
      <w:proofErr w:type="spellStart"/>
      <w:r>
        <w:t>high-risk</w:t>
      </w:r>
      <w:proofErr w:type="spellEnd"/>
      <w:r>
        <w:t xml:space="preserve"> non-</w:t>
      </w:r>
      <w:proofErr w:type="spellStart"/>
      <w:r>
        <w:t>muscle</w:t>
      </w:r>
      <w:proofErr w:type="spellEnd"/>
      <w:r>
        <w:t xml:space="preserve">-invasive </w:t>
      </w:r>
      <w:proofErr w:type="spellStart"/>
      <w:r>
        <w:t>bladder</w:t>
      </w:r>
      <w:proofErr w:type="spellEnd"/>
      <w:r>
        <w:t xml:space="preserve"> </w:t>
      </w:r>
      <w:proofErr w:type="spellStart"/>
      <w:r>
        <w:t>cancer</w:t>
      </w:r>
      <w:proofErr w:type="spellEnd"/>
      <w:r>
        <w:t xml:space="preserve">: a </w:t>
      </w:r>
      <w:proofErr w:type="spellStart"/>
      <w:r>
        <w:t>population-based</w:t>
      </w:r>
      <w:proofErr w:type="spellEnd"/>
      <w:r>
        <w:t xml:space="preserve"> </w:t>
      </w:r>
      <w:proofErr w:type="spellStart"/>
      <w:r>
        <w:t>analysis</w:t>
      </w:r>
      <w:proofErr w:type="spellEnd"/>
      <w:r>
        <w:t xml:space="preserve"> </w:t>
      </w:r>
      <w:proofErr w:type="spellStart"/>
      <w:r>
        <w:t>from</w:t>
      </w:r>
      <w:proofErr w:type="spellEnd"/>
      <w:r>
        <w:t xml:space="preserve"> Alberta, </w:t>
      </w:r>
      <w:proofErr w:type="spellStart"/>
      <w:r>
        <w:t>Canada</w:t>
      </w:r>
      <w:proofErr w:type="spellEnd"/>
      <w:r>
        <w:t>.</w:t>
      </w:r>
      <w:r>
        <w:br/>
        <w:t xml:space="preserve">Can </w:t>
      </w:r>
      <w:proofErr w:type="spellStart"/>
      <w:r>
        <w:t>Urol</w:t>
      </w:r>
      <w:proofErr w:type="spellEnd"/>
      <w:r>
        <w:t xml:space="preserve"> </w:t>
      </w:r>
      <w:proofErr w:type="spellStart"/>
      <w:r>
        <w:t>Assoc</w:t>
      </w:r>
      <w:proofErr w:type="spellEnd"/>
      <w:r>
        <w:t xml:space="preserve"> J (CUAJ). 2025;19(1</w:t>
      </w:r>
      <w:proofErr w:type="gramStart"/>
      <w:r>
        <w:t>):E</w:t>
      </w:r>
      <w:proofErr w:type="gramEnd"/>
      <w:r>
        <w:t>23-E31.</w:t>
      </w:r>
    </w:p>
    <w:p w14:paraId="639AFA64" w14:textId="77777777" w:rsidR="005448E1" w:rsidRDefault="00000000">
      <w:pPr>
        <w:spacing w:line="360" w:lineRule="auto"/>
        <w:jc w:val="both"/>
        <w:rPr>
          <w:color w:val="212121"/>
          <w:highlight w:val="white"/>
        </w:rPr>
      </w:pPr>
      <w:r>
        <w:t xml:space="preserve"> </w:t>
      </w:r>
    </w:p>
    <w:p w14:paraId="4B84BCFF" w14:textId="77777777" w:rsidR="005448E1" w:rsidRDefault="00000000">
      <w:pPr>
        <w:spacing w:line="360" w:lineRule="auto"/>
        <w:jc w:val="both"/>
        <w:rPr>
          <w:color w:val="212121"/>
          <w:sz w:val="20"/>
          <w:szCs w:val="20"/>
          <w:highlight w:val="white"/>
        </w:rPr>
      </w:pPr>
      <w:r>
        <w:rPr>
          <w:color w:val="212121"/>
          <w:highlight w:val="white"/>
        </w:rPr>
        <w:t xml:space="preserve">15. </w:t>
      </w:r>
      <w:r>
        <w:rPr>
          <w:color w:val="1B1B1B"/>
          <w:highlight w:val="white"/>
        </w:rPr>
        <w:t xml:space="preserve">Malik K, Raja A, </w:t>
      </w:r>
      <w:proofErr w:type="spellStart"/>
      <w:r>
        <w:rPr>
          <w:color w:val="1B1B1B"/>
          <w:highlight w:val="white"/>
        </w:rPr>
        <w:t>Ravishankar</w:t>
      </w:r>
      <w:proofErr w:type="spellEnd"/>
      <w:r>
        <w:rPr>
          <w:color w:val="1B1B1B"/>
          <w:highlight w:val="white"/>
        </w:rPr>
        <w:t xml:space="preserve"> LS, </w:t>
      </w:r>
      <w:proofErr w:type="spellStart"/>
      <w:r>
        <w:rPr>
          <w:color w:val="1B1B1B"/>
          <w:highlight w:val="white"/>
        </w:rPr>
        <w:t>Narayanaswamy</w:t>
      </w:r>
      <w:proofErr w:type="spellEnd"/>
      <w:r>
        <w:rPr>
          <w:color w:val="1B1B1B"/>
          <w:highlight w:val="white"/>
        </w:rPr>
        <w:t xml:space="preserve"> K, </w:t>
      </w:r>
      <w:proofErr w:type="spellStart"/>
      <w:r>
        <w:rPr>
          <w:color w:val="1B1B1B"/>
          <w:highlight w:val="white"/>
        </w:rPr>
        <w:t>Radhakrishnan</w:t>
      </w:r>
      <w:proofErr w:type="spellEnd"/>
      <w:r>
        <w:rPr>
          <w:color w:val="1B1B1B"/>
          <w:highlight w:val="white"/>
        </w:rPr>
        <w:t xml:space="preserve"> V, </w:t>
      </w:r>
      <w:proofErr w:type="spellStart"/>
      <w:r>
        <w:rPr>
          <w:color w:val="1B1B1B"/>
          <w:highlight w:val="white"/>
        </w:rPr>
        <w:t>Sagar</w:t>
      </w:r>
      <w:proofErr w:type="spellEnd"/>
      <w:r>
        <w:rPr>
          <w:color w:val="1B1B1B"/>
          <w:highlight w:val="white"/>
        </w:rPr>
        <w:t xml:space="preserve"> TG. Intravesical </w:t>
      </w:r>
      <w:proofErr w:type="spellStart"/>
      <w:r>
        <w:rPr>
          <w:color w:val="1B1B1B"/>
          <w:highlight w:val="white"/>
        </w:rPr>
        <w:t>Bacillus</w:t>
      </w:r>
      <w:proofErr w:type="spellEnd"/>
      <w:r>
        <w:rPr>
          <w:color w:val="1B1B1B"/>
          <w:highlight w:val="white"/>
        </w:rPr>
        <w:t xml:space="preserve"> Calmette-</w:t>
      </w:r>
      <w:proofErr w:type="spellStart"/>
      <w:r>
        <w:rPr>
          <w:color w:val="1B1B1B"/>
          <w:highlight w:val="white"/>
        </w:rPr>
        <w:t>Guerin</w:t>
      </w:r>
      <w:proofErr w:type="spellEnd"/>
      <w:r>
        <w:rPr>
          <w:color w:val="1B1B1B"/>
          <w:highlight w:val="white"/>
        </w:rPr>
        <w:t xml:space="preserve"> (BCG) </w:t>
      </w:r>
      <w:proofErr w:type="spellStart"/>
      <w:r>
        <w:rPr>
          <w:color w:val="1B1B1B"/>
          <w:highlight w:val="white"/>
        </w:rPr>
        <w:t>Therapy</w:t>
      </w:r>
      <w:proofErr w:type="spellEnd"/>
      <w:r>
        <w:rPr>
          <w:color w:val="1B1B1B"/>
          <w:highlight w:val="white"/>
        </w:rPr>
        <w:t xml:space="preserve"> </w:t>
      </w:r>
      <w:proofErr w:type="spellStart"/>
      <w:r>
        <w:rPr>
          <w:color w:val="1B1B1B"/>
          <w:highlight w:val="white"/>
        </w:rPr>
        <w:t>for</w:t>
      </w:r>
      <w:proofErr w:type="spellEnd"/>
      <w:r>
        <w:rPr>
          <w:color w:val="1B1B1B"/>
          <w:highlight w:val="white"/>
        </w:rPr>
        <w:t xml:space="preserve"> Non-</w:t>
      </w:r>
      <w:proofErr w:type="spellStart"/>
      <w:r>
        <w:rPr>
          <w:color w:val="1B1B1B"/>
          <w:highlight w:val="white"/>
        </w:rPr>
        <w:t>muscle</w:t>
      </w:r>
      <w:proofErr w:type="spellEnd"/>
      <w:r>
        <w:rPr>
          <w:color w:val="1B1B1B"/>
          <w:highlight w:val="white"/>
        </w:rPr>
        <w:t xml:space="preserve"> Invasive </w:t>
      </w:r>
      <w:proofErr w:type="spellStart"/>
      <w:r>
        <w:rPr>
          <w:color w:val="1B1B1B"/>
          <w:highlight w:val="white"/>
        </w:rPr>
        <w:t>Bladder</w:t>
      </w:r>
      <w:proofErr w:type="spellEnd"/>
      <w:r>
        <w:rPr>
          <w:color w:val="1B1B1B"/>
          <w:highlight w:val="white"/>
        </w:rPr>
        <w:t xml:space="preserve"> </w:t>
      </w:r>
      <w:proofErr w:type="spellStart"/>
      <w:r>
        <w:rPr>
          <w:color w:val="1B1B1B"/>
          <w:highlight w:val="white"/>
        </w:rPr>
        <w:t>Cancers</w:t>
      </w:r>
      <w:proofErr w:type="spellEnd"/>
      <w:r>
        <w:rPr>
          <w:color w:val="1B1B1B"/>
          <w:highlight w:val="white"/>
        </w:rPr>
        <w:t>: Long-</w:t>
      </w:r>
      <w:proofErr w:type="spellStart"/>
      <w:r>
        <w:rPr>
          <w:color w:val="1B1B1B"/>
          <w:highlight w:val="white"/>
        </w:rPr>
        <w:t>term</w:t>
      </w:r>
      <w:proofErr w:type="spellEnd"/>
      <w:r>
        <w:rPr>
          <w:color w:val="1B1B1B"/>
          <w:highlight w:val="white"/>
        </w:rPr>
        <w:t xml:space="preserve"> </w:t>
      </w:r>
      <w:proofErr w:type="spellStart"/>
      <w:r>
        <w:rPr>
          <w:color w:val="1B1B1B"/>
          <w:highlight w:val="white"/>
        </w:rPr>
        <w:t>Results</w:t>
      </w:r>
      <w:proofErr w:type="spellEnd"/>
      <w:r>
        <w:rPr>
          <w:color w:val="1B1B1B"/>
          <w:highlight w:val="white"/>
        </w:rPr>
        <w:t xml:space="preserve"> </w:t>
      </w:r>
      <w:proofErr w:type="spellStart"/>
      <w:r>
        <w:rPr>
          <w:color w:val="1B1B1B"/>
          <w:highlight w:val="white"/>
        </w:rPr>
        <w:t>of</w:t>
      </w:r>
      <w:proofErr w:type="spellEnd"/>
      <w:r>
        <w:rPr>
          <w:color w:val="1B1B1B"/>
          <w:highlight w:val="white"/>
        </w:rPr>
        <w:t xml:space="preserve"> a </w:t>
      </w:r>
      <w:proofErr w:type="spellStart"/>
      <w:r>
        <w:rPr>
          <w:color w:val="1B1B1B"/>
          <w:highlight w:val="white"/>
        </w:rPr>
        <w:t>Modified</w:t>
      </w:r>
      <w:proofErr w:type="spellEnd"/>
      <w:r>
        <w:rPr>
          <w:color w:val="1B1B1B"/>
          <w:highlight w:val="white"/>
        </w:rPr>
        <w:t xml:space="preserve"> Schedule. </w:t>
      </w:r>
      <w:proofErr w:type="spellStart"/>
      <w:r>
        <w:rPr>
          <w:color w:val="1B1B1B"/>
          <w:highlight w:val="white"/>
        </w:rPr>
        <w:t>Indian</w:t>
      </w:r>
      <w:proofErr w:type="spellEnd"/>
      <w:r>
        <w:rPr>
          <w:color w:val="1B1B1B"/>
          <w:highlight w:val="white"/>
        </w:rPr>
        <w:t xml:space="preserve"> J </w:t>
      </w:r>
      <w:proofErr w:type="spellStart"/>
      <w:r>
        <w:rPr>
          <w:color w:val="1B1B1B"/>
          <w:highlight w:val="white"/>
        </w:rPr>
        <w:t>Surg</w:t>
      </w:r>
      <w:proofErr w:type="spellEnd"/>
      <w:r>
        <w:rPr>
          <w:color w:val="1B1B1B"/>
          <w:highlight w:val="white"/>
        </w:rPr>
        <w:t xml:space="preserve"> Oncol. 2021 Dec;12(4):796-801. </w:t>
      </w:r>
      <w:proofErr w:type="spellStart"/>
      <w:r>
        <w:rPr>
          <w:color w:val="1B1B1B"/>
          <w:highlight w:val="white"/>
        </w:rPr>
        <w:t>doi</w:t>
      </w:r>
      <w:proofErr w:type="spellEnd"/>
      <w:r>
        <w:rPr>
          <w:color w:val="1B1B1B"/>
          <w:highlight w:val="white"/>
        </w:rPr>
        <w:t xml:space="preserve">: 10.1007/s13193-021-01439-w. </w:t>
      </w:r>
      <w:proofErr w:type="spellStart"/>
      <w:r>
        <w:rPr>
          <w:color w:val="1B1B1B"/>
          <w:highlight w:val="white"/>
        </w:rPr>
        <w:t>Epub</w:t>
      </w:r>
      <w:proofErr w:type="spellEnd"/>
      <w:r>
        <w:rPr>
          <w:color w:val="1B1B1B"/>
          <w:highlight w:val="white"/>
        </w:rPr>
        <w:t xml:space="preserve"> 2021 </w:t>
      </w:r>
      <w:proofErr w:type="spellStart"/>
      <w:r>
        <w:rPr>
          <w:color w:val="1B1B1B"/>
          <w:highlight w:val="white"/>
        </w:rPr>
        <w:t>Sep</w:t>
      </w:r>
      <w:proofErr w:type="spellEnd"/>
      <w:r>
        <w:rPr>
          <w:color w:val="1B1B1B"/>
          <w:highlight w:val="white"/>
        </w:rPr>
        <w:t xml:space="preserve"> 9. PMID: 35110905; PMCID: PMC8764004.</w:t>
      </w:r>
    </w:p>
    <w:p w14:paraId="3E536757" w14:textId="77777777" w:rsidR="005448E1" w:rsidRDefault="005448E1">
      <w:pPr>
        <w:spacing w:line="360" w:lineRule="auto"/>
        <w:jc w:val="both"/>
      </w:pPr>
    </w:p>
    <w:p w14:paraId="20B0533E" w14:textId="77777777" w:rsidR="005448E1" w:rsidRDefault="00000000">
      <w:pPr>
        <w:spacing w:line="360" w:lineRule="auto"/>
        <w:jc w:val="both"/>
      </w:pPr>
      <w:r>
        <w:t xml:space="preserve">16. Van </w:t>
      </w:r>
      <w:proofErr w:type="spellStart"/>
      <w:r>
        <w:t>der</w:t>
      </w:r>
      <w:proofErr w:type="spellEnd"/>
      <w:r>
        <w:t xml:space="preserve"> </w:t>
      </w:r>
      <w:proofErr w:type="spellStart"/>
      <w:r>
        <w:t>Meijden</w:t>
      </w:r>
      <w:proofErr w:type="spellEnd"/>
      <w:r>
        <w:t xml:space="preserve">, A.P., et al. </w:t>
      </w:r>
      <w:proofErr w:type="spellStart"/>
      <w:r>
        <w:t>Maintenance</w:t>
      </w:r>
      <w:proofErr w:type="spellEnd"/>
      <w:r>
        <w:t xml:space="preserve"> </w:t>
      </w:r>
      <w:proofErr w:type="spellStart"/>
      <w:r>
        <w:t>Bacillus</w:t>
      </w:r>
      <w:proofErr w:type="spellEnd"/>
      <w:r>
        <w:t xml:space="preserve"> Calmette-</w:t>
      </w:r>
      <w:proofErr w:type="spellStart"/>
      <w:r>
        <w:t>Guerin</w:t>
      </w:r>
      <w:proofErr w:type="spellEnd"/>
      <w:r>
        <w:t xml:space="preserve"> </w:t>
      </w:r>
      <w:proofErr w:type="spellStart"/>
      <w:r>
        <w:t>for</w:t>
      </w:r>
      <w:proofErr w:type="spellEnd"/>
      <w:r>
        <w:t xml:space="preserve"> Ta T1 </w:t>
      </w:r>
      <w:proofErr w:type="spellStart"/>
      <w:r>
        <w:t>bladder</w:t>
      </w:r>
      <w:proofErr w:type="spellEnd"/>
      <w:r>
        <w:t xml:space="preserve"> </w:t>
      </w:r>
      <w:proofErr w:type="spellStart"/>
      <w:r>
        <w:t>Tumors</w:t>
      </w:r>
      <w:proofErr w:type="spellEnd"/>
      <w:r>
        <w:t xml:space="preserve"> </w:t>
      </w:r>
      <w:proofErr w:type="spellStart"/>
      <w:r>
        <w:t>is</w:t>
      </w:r>
      <w:proofErr w:type="spellEnd"/>
      <w:r>
        <w:t xml:space="preserve"> </w:t>
      </w:r>
      <w:proofErr w:type="spellStart"/>
      <w:r>
        <w:t>not</w:t>
      </w:r>
      <w:proofErr w:type="spellEnd"/>
      <w:r>
        <w:t xml:space="preserve"> </w:t>
      </w:r>
      <w:proofErr w:type="spellStart"/>
      <w:r>
        <w:t>associated</w:t>
      </w:r>
      <w:proofErr w:type="spellEnd"/>
      <w:r>
        <w:t xml:space="preserve"> </w:t>
      </w:r>
      <w:proofErr w:type="spellStart"/>
      <w:r>
        <w:t>with</w:t>
      </w:r>
      <w:proofErr w:type="spellEnd"/>
      <w:r>
        <w:t xml:space="preserve"> </w:t>
      </w:r>
      <w:proofErr w:type="spellStart"/>
      <w:r>
        <w:t>increased</w:t>
      </w:r>
      <w:proofErr w:type="spellEnd"/>
      <w:r>
        <w:t xml:space="preserve"> </w:t>
      </w:r>
      <w:proofErr w:type="spellStart"/>
      <w:r>
        <w:t>toxicity</w:t>
      </w:r>
      <w:proofErr w:type="spellEnd"/>
      <w:r>
        <w:t xml:space="preserve">: </w:t>
      </w:r>
      <w:proofErr w:type="spellStart"/>
      <w:r>
        <w:t>results</w:t>
      </w:r>
      <w:proofErr w:type="spellEnd"/>
      <w:r>
        <w:t xml:space="preserve"> </w:t>
      </w:r>
      <w:proofErr w:type="spellStart"/>
      <w:r>
        <w:t>from</w:t>
      </w:r>
      <w:proofErr w:type="spellEnd"/>
      <w:r>
        <w:t xml:space="preserve"> a </w:t>
      </w:r>
      <w:proofErr w:type="spellStart"/>
      <w:r>
        <w:t>European</w:t>
      </w:r>
      <w:proofErr w:type="spellEnd"/>
      <w:r>
        <w:t xml:space="preserve"> </w:t>
      </w:r>
      <w:proofErr w:type="spellStart"/>
      <w:r>
        <w:t>Organisation</w:t>
      </w:r>
      <w:proofErr w:type="spellEnd"/>
      <w:r>
        <w:t xml:space="preserve"> </w:t>
      </w:r>
      <w:proofErr w:type="spellStart"/>
      <w:r>
        <w:t>for</w:t>
      </w:r>
      <w:proofErr w:type="spellEnd"/>
      <w:r>
        <w:t xml:space="preserve"> </w:t>
      </w:r>
      <w:proofErr w:type="spellStart"/>
      <w:r>
        <w:t>Research</w:t>
      </w:r>
      <w:proofErr w:type="spellEnd"/>
      <w:r>
        <w:t xml:space="preserve"> and </w:t>
      </w:r>
      <w:proofErr w:type="spellStart"/>
      <w:r>
        <w:t>Treatment</w:t>
      </w:r>
      <w:proofErr w:type="spellEnd"/>
      <w:r>
        <w:t xml:space="preserve"> </w:t>
      </w:r>
      <w:proofErr w:type="spellStart"/>
      <w:r>
        <w:t>of</w:t>
      </w:r>
      <w:proofErr w:type="spellEnd"/>
      <w:r>
        <w:t xml:space="preserve"> </w:t>
      </w:r>
      <w:proofErr w:type="spellStart"/>
      <w:r>
        <w:t>Cancer</w:t>
      </w:r>
      <w:proofErr w:type="spellEnd"/>
      <w:r>
        <w:t xml:space="preserve"> </w:t>
      </w:r>
      <w:proofErr w:type="spellStart"/>
      <w:r>
        <w:t>Genito-Urinary</w:t>
      </w:r>
      <w:proofErr w:type="spellEnd"/>
      <w:r>
        <w:t xml:space="preserve"> </w:t>
      </w:r>
      <w:proofErr w:type="spellStart"/>
      <w:r>
        <w:t>Group</w:t>
      </w:r>
      <w:proofErr w:type="spellEnd"/>
      <w:r>
        <w:t xml:space="preserve"> </w:t>
      </w:r>
      <w:proofErr w:type="spellStart"/>
      <w:r>
        <w:t>Phase</w:t>
      </w:r>
      <w:proofErr w:type="spellEnd"/>
      <w:r>
        <w:t xml:space="preserve"> III Trial. </w:t>
      </w:r>
      <w:proofErr w:type="spellStart"/>
      <w:r>
        <w:t>Eur</w:t>
      </w:r>
      <w:proofErr w:type="spellEnd"/>
      <w:r>
        <w:t xml:space="preserve"> </w:t>
      </w:r>
      <w:proofErr w:type="spellStart"/>
      <w:r>
        <w:t>Urol</w:t>
      </w:r>
      <w:proofErr w:type="spellEnd"/>
      <w:r>
        <w:t>, 2003. 44: 429. https://www.ncbi.nlm.nih.gov/pubmed/14499676</w:t>
      </w:r>
    </w:p>
    <w:p w14:paraId="277634D0" w14:textId="77777777" w:rsidR="005448E1" w:rsidRDefault="005448E1">
      <w:pPr>
        <w:spacing w:line="360" w:lineRule="auto"/>
      </w:pPr>
    </w:p>
    <w:p w14:paraId="7CD4C761" w14:textId="77777777" w:rsidR="005448E1" w:rsidRDefault="00000000">
      <w:pPr>
        <w:spacing w:line="360" w:lineRule="auto"/>
      </w:pPr>
      <w:r>
        <w:t xml:space="preserve">17. </w:t>
      </w:r>
      <w:proofErr w:type="spellStart"/>
      <w:r>
        <w:rPr>
          <w:color w:val="212121"/>
          <w:highlight w:val="white"/>
        </w:rPr>
        <w:t>Leeson</w:t>
      </w:r>
      <w:proofErr w:type="spellEnd"/>
      <w:r>
        <w:rPr>
          <w:color w:val="212121"/>
          <w:highlight w:val="white"/>
        </w:rPr>
        <w:t xml:space="preserve">, C. E., Ismail, A., </w:t>
      </w:r>
      <w:proofErr w:type="spellStart"/>
      <w:r>
        <w:rPr>
          <w:color w:val="212121"/>
          <w:highlight w:val="white"/>
        </w:rPr>
        <w:t>Hashad</w:t>
      </w:r>
      <w:proofErr w:type="spellEnd"/>
      <w:r>
        <w:rPr>
          <w:color w:val="212121"/>
          <w:highlight w:val="white"/>
        </w:rPr>
        <w:t xml:space="preserve">, M. M., </w:t>
      </w:r>
      <w:proofErr w:type="spellStart"/>
      <w:r>
        <w:rPr>
          <w:color w:val="212121"/>
          <w:highlight w:val="white"/>
        </w:rPr>
        <w:t>Elmansy</w:t>
      </w:r>
      <w:proofErr w:type="spellEnd"/>
      <w:r>
        <w:rPr>
          <w:color w:val="212121"/>
          <w:highlight w:val="white"/>
        </w:rPr>
        <w:t xml:space="preserve">, H., </w:t>
      </w:r>
      <w:proofErr w:type="spellStart"/>
      <w:r>
        <w:rPr>
          <w:color w:val="212121"/>
          <w:highlight w:val="white"/>
        </w:rPr>
        <w:t>Shahrour</w:t>
      </w:r>
      <w:proofErr w:type="spellEnd"/>
      <w:r>
        <w:rPr>
          <w:color w:val="212121"/>
          <w:highlight w:val="white"/>
        </w:rPr>
        <w:t xml:space="preserve">, W., </w:t>
      </w:r>
      <w:proofErr w:type="spellStart"/>
      <w:r>
        <w:rPr>
          <w:color w:val="212121"/>
          <w:highlight w:val="white"/>
        </w:rPr>
        <w:t>Prowse</w:t>
      </w:r>
      <w:proofErr w:type="spellEnd"/>
      <w:r>
        <w:rPr>
          <w:color w:val="212121"/>
          <w:highlight w:val="white"/>
        </w:rPr>
        <w:t xml:space="preserve">, O., &amp; </w:t>
      </w:r>
      <w:proofErr w:type="spellStart"/>
      <w:r>
        <w:rPr>
          <w:color w:val="212121"/>
          <w:highlight w:val="white"/>
        </w:rPr>
        <w:t>Kotb</w:t>
      </w:r>
      <w:proofErr w:type="spellEnd"/>
      <w:r>
        <w:rPr>
          <w:color w:val="212121"/>
          <w:highlight w:val="white"/>
        </w:rPr>
        <w:t xml:space="preserve">, A. (2020). </w:t>
      </w:r>
      <w:proofErr w:type="spellStart"/>
      <w:r>
        <w:rPr>
          <w:color w:val="212121"/>
          <w:highlight w:val="white"/>
        </w:rPr>
        <w:t>Systematic</w:t>
      </w:r>
      <w:proofErr w:type="spellEnd"/>
      <w:r>
        <w:rPr>
          <w:color w:val="212121"/>
          <w:highlight w:val="white"/>
        </w:rPr>
        <w:t xml:space="preserve"> </w:t>
      </w:r>
      <w:proofErr w:type="spellStart"/>
      <w:r>
        <w:rPr>
          <w:color w:val="212121"/>
          <w:highlight w:val="white"/>
        </w:rPr>
        <w:t>Review</w:t>
      </w:r>
      <w:proofErr w:type="spellEnd"/>
      <w:r>
        <w:rPr>
          <w:color w:val="212121"/>
          <w:highlight w:val="white"/>
        </w:rPr>
        <w:t xml:space="preserve">: Safety </w:t>
      </w:r>
      <w:proofErr w:type="spellStart"/>
      <w:r>
        <w:rPr>
          <w:color w:val="212121"/>
          <w:highlight w:val="white"/>
        </w:rPr>
        <w:t>of</w:t>
      </w:r>
      <w:proofErr w:type="spellEnd"/>
      <w:r>
        <w:rPr>
          <w:color w:val="212121"/>
          <w:highlight w:val="white"/>
        </w:rPr>
        <w:t xml:space="preserve"> Intravesical </w:t>
      </w:r>
      <w:proofErr w:type="spellStart"/>
      <w:r>
        <w:rPr>
          <w:color w:val="212121"/>
          <w:highlight w:val="white"/>
        </w:rPr>
        <w:t>Therapy</w:t>
      </w:r>
      <w:proofErr w:type="spellEnd"/>
      <w:r>
        <w:rPr>
          <w:color w:val="212121"/>
          <w:highlight w:val="white"/>
        </w:rPr>
        <w:t xml:space="preserve"> </w:t>
      </w:r>
      <w:proofErr w:type="spellStart"/>
      <w:r>
        <w:rPr>
          <w:color w:val="212121"/>
          <w:highlight w:val="white"/>
        </w:rPr>
        <w:t>for</w:t>
      </w:r>
      <w:proofErr w:type="spellEnd"/>
      <w:r>
        <w:rPr>
          <w:color w:val="212121"/>
          <w:highlight w:val="white"/>
        </w:rPr>
        <w:t xml:space="preserve"> </w:t>
      </w:r>
      <w:proofErr w:type="spellStart"/>
      <w:r>
        <w:rPr>
          <w:color w:val="212121"/>
          <w:highlight w:val="white"/>
        </w:rPr>
        <w:t>Bladder</w:t>
      </w:r>
      <w:proofErr w:type="spellEnd"/>
      <w:r>
        <w:rPr>
          <w:color w:val="212121"/>
          <w:highlight w:val="white"/>
        </w:rPr>
        <w:t xml:space="preserve"> </w:t>
      </w:r>
      <w:proofErr w:type="spellStart"/>
      <w:r>
        <w:rPr>
          <w:color w:val="212121"/>
          <w:highlight w:val="white"/>
        </w:rPr>
        <w:t>Cancer</w:t>
      </w:r>
      <w:proofErr w:type="spellEnd"/>
      <w:r>
        <w:rPr>
          <w:color w:val="212121"/>
          <w:highlight w:val="white"/>
        </w:rPr>
        <w:t xml:space="preserve"> in </w:t>
      </w:r>
      <w:proofErr w:type="spellStart"/>
      <w:r>
        <w:rPr>
          <w:color w:val="212121"/>
          <w:highlight w:val="white"/>
        </w:rPr>
        <w:t>the</w:t>
      </w:r>
      <w:proofErr w:type="spellEnd"/>
      <w:r>
        <w:rPr>
          <w:color w:val="212121"/>
          <w:highlight w:val="white"/>
        </w:rPr>
        <w:t xml:space="preserve"> Era </w:t>
      </w:r>
      <w:proofErr w:type="spellStart"/>
      <w:r>
        <w:rPr>
          <w:color w:val="212121"/>
          <w:highlight w:val="white"/>
        </w:rPr>
        <w:t>of</w:t>
      </w:r>
      <w:proofErr w:type="spellEnd"/>
      <w:r>
        <w:rPr>
          <w:color w:val="212121"/>
          <w:highlight w:val="white"/>
        </w:rPr>
        <w:t xml:space="preserve"> COVID-19. </w:t>
      </w:r>
      <w:r>
        <w:rPr>
          <w:i/>
          <w:color w:val="212121"/>
          <w:highlight w:val="white"/>
        </w:rPr>
        <w:t xml:space="preserve">SN comprehensive </w:t>
      </w:r>
      <w:proofErr w:type="spellStart"/>
      <w:r>
        <w:rPr>
          <w:i/>
          <w:color w:val="212121"/>
          <w:highlight w:val="white"/>
        </w:rPr>
        <w:t>clinical</w:t>
      </w:r>
      <w:proofErr w:type="spellEnd"/>
      <w:r>
        <w:rPr>
          <w:i/>
          <w:color w:val="212121"/>
          <w:highlight w:val="white"/>
        </w:rPr>
        <w:t xml:space="preserve"> medicine</w:t>
      </w:r>
      <w:r>
        <w:rPr>
          <w:color w:val="212121"/>
          <w:highlight w:val="white"/>
        </w:rPr>
        <w:t xml:space="preserve">, </w:t>
      </w:r>
      <w:r>
        <w:rPr>
          <w:i/>
          <w:color w:val="212121"/>
          <w:highlight w:val="white"/>
        </w:rPr>
        <w:t>2</w:t>
      </w:r>
      <w:r>
        <w:rPr>
          <w:color w:val="212121"/>
          <w:highlight w:val="white"/>
        </w:rPr>
        <w:t>(9), 1444–1448. https://doi.org/10.1007/s42399-020-00461-3</w:t>
      </w:r>
    </w:p>
    <w:p w14:paraId="09F1E0CF" w14:textId="77777777" w:rsidR="005448E1" w:rsidRDefault="005448E1">
      <w:pPr>
        <w:spacing w:line="360" w:lineRule="auto"/>
      </w:pPr>
    </w:p>
    <w:p w14:paraId="1F4A0F63" w14:textId="77777777" w:rsidR="005448E1" w:rsidRDefault="00000000">
      <w:pPr>
        <w:spacing w:line="360" w:lineRule="auto"/>
        <w:rPr>
          <w:color w:val="333333"/>
        </w:rPr>
      </w:pPr>
      <w:r>
        <w:t xml:space="preserve">18. </w:t>
      </w:r>
      <w:proofErr w:type="spellStart"/>
      <w:r>
        <w:rPr>
          <w:color w:val="333333"/>
        </w:rPr>
        <w:t>Koya</w:t>
      </w:r>
      <w:proofErr w:type="spellEnd"/>
      <w:r>
        <w:rPr>
          <w:color w:val="333333"/>
        </w:rPr>
        <w:t xml:space="preserve"> MP, </w:t>
      </w:r>
      <w:proofErr w:type="spellStart"/>
      <w:r>
        <w:rPr>
          <w:color w:val="333333"/>
        </w:rPr>
        <w:t>Simon</w:t>
      </w:r>
      <w:proofErr w:type="spellEnd"/>
      <w:r>
        <w:rPr>
          <w:color w:val="333333"/>
        </w:rPr>
        <w:t xml:space="preserve"> MA, </w:t>
      </w:r>
      <w:proofErr w:type="spellStart"/>
      <w:r>
        <w:rPr>
          <w:color w:val="333333"/>
        </w:rPr>
        <w:t>Soloway</w:t>
      </w:r>
      <w:proofErr w:type="spellEnd"/>
      <w:r>
        <w:rPr>
          <w:color w:val="333333"/>
        </w:rPr>
        <w:t xml:space="preserve"> MS. </w:t>
      </w:r>
      <w:proofErr w:type="spellStart"/>
      <w:r>
        <w:rPr>
          <w:color w:val="333333"/>
        </w:rPr>
        <w:t>Complications</w:t>
      </w:r>
      <w:proofErr w:type="spellEnd"/>
      <w:r>
        <w:rPr>
          <w:color w:val="333333"/>
        </w:rPr>
        <w:t xml:space="preserve"> </w:t>
      </w:r>
      <w:proofErr w:type="spellStart"/>
      <w:r>
        <w:rPr>
          <w:color w:val="333333"/>
        </w:rPr>
        <w:t>of</w:t>
      </w:r>
      <w:proofErr w:type="spellEnd"/>
      <w:r>
        <w:rPr>
          <w:color w:val="333333"/>
        </w:rPr>
        <w:t xml:space="preserve"> Intravesical </w:t>
      </w:r>
      <w:proofErr w:type="spellStart"/>
      <w:r>
        <w:rPr>
          <w:color w:val="333333"/>
        </w:rPr>
        <w:t>Therapy</w:t>
      </w:r>
      <w:proofErr w:type="spellEnd"/>
      <w:r>
        <w:rPr>
          <w:color w:val="333333"/>
        </w:rPr>
        <w:t xml:space="preserve"> </w:t>
      </w:r>
      <w:proofErr w:type="spellStart"/>
      <w:r>
        <w:rPr>
          <w:color w:val="333333"/>
        </w:rPr>
        <w:t>for</w:t>
      </w:r>
      <w:proofErr w:type="spellEnd"/>
      <w:r>
        <w:rPr>
          <w:color w:val="333333"/>
        </w:rPr>
        <w:t xml:space="preserve"> </w:t>
      </w:r>
      <w:proofErr w:type="spellStart"/>
      <w:r>
        <w:rPr>
          <w:color w:val="333333"/>
        </w:rPr>
        <w:t>Urothelial</w:t>
      </w:r>
      <w:proofErr w:type="spellEnd"/>
      <w:r>
        <w:rPr>
          <w:color w:val="333333"/>
        </w:rPr>
        <w:t xml:space="preserve"> </w:t>
      </w:r>
      <w:proofErr w:type="spellStart"/>
      <w:r>
        <w:rPr>
          <w:color w:val="333333"/>
        </w:rPr>
        <w:t>Cancer</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the</w:t>
      </w:r>
      <w:proofErr w:type="spellEnd"/>
      <w:r>
        <w:rPr>
          <w:color w:val="333333"/>
        </w:rPr>
        <w:t xml:space="preserve"> </w:t>
      </w:r>
      <w:proofErr w:type="spellStart"/>
      <w:r>
        <w:rPr>
          <w:color w:val="333333"/>
        </w:rPr>
        <w:t>Bladder</w:t>
      </w:r>
      <w:proofErr w:type="spellEnd"/>
      <w:r>
        <w:rPr>
          <w:color w:val="333333"/>
        </w:rPr>
        <w:t xml:space="preserve">. </w:t>
      </w:r>
      <w:proofErr w:type="spellStart"/>
      <w:r>
        <w:rPr>
          <w:color w:val="333333"/>
        </w:rPr>
        <w:t>Journal</w:t>
      </w:r>
      <w:proofErr w:type="spellEnd"/>
      <w:r>
        <w:rPr>
          <w:color w:val="333333"/>
        </w:rPr>
        <w:t xml:space="preserve"> </w:t>
      </w:r>
      <w:proofErr w:type="spellStart"/>
      <w:r>
        <w:rPr>
          <w:color w:val="333333"/>
        </w:rPr>
        <w:t>of</w:t>
      </w:r>
      <w:proofErr w:type="spellEnd"/>
      <w:r>
        <w:rPr>
          <w:color w:val="333333"/>
        </w:rPr>
        <w:t xml:space="preserve"> </w:t>
      </w:r>
      <w:proofErr w:type="spellStart"/>
      <w:r>
        <w:rPr>
          <w:color w:val="333333"/>
        </w:rPr>
        <w:t>Urology</w:t>
      </w:r>
      <w:proofErr w:type="spellEnd"/>
      <w:r>
        <w:rPr>
          <w:color w:val="333333"/>
        </w:rPr>
        <w:t xml:space="preserve"> [Internet]. 2006 </w:t>
      </w:r>
      <w:proofErr w:type="gramStart"/>
      <w:r>
        <w:rPr>
          <w:color w:val="333333"/>
        </w:rPr>
        <w:t>Jun</w:t>
      </w:r>
      <w:proofErr w:type="gramEnd"/>
      <w:r>
        <w:rPr>
          <w:color w:val="333333"/>
        </w:rPr>
        <w:t xml:space="preserve"> 1 [</w:t>
      </w:r>
      <w:proofErr w:type="spellStart"/>
      <w:r>
        <w:rPr>
          <w:color w:val="333333"/>
        </w:rPr>
        <w:t>cited</w:t>
      </w:r>
      <w:proofErr w:type="spellEnd"/>
      <w:r>
        <w:rPr>
          <w:color w:val="333333"/>
        </w:rPr>
        <w:t xml:space="preserve"> 2025 </w:t>
      </w:r>
      <w:proofErr w:type="spellStart"/>
      <w:r>
        <w:rPr>
          <w:color w:val="333333"/>
        </w:rPr>
        <w:t>Sep</w:t>
      </w:r>
      <w:proofErr w:type="spellEnd"/>
      <w:r>
        <w:rPr>
          <w:color w:val="333333"/>
        </w:rPr>
        <w:t xml:space="preserve"> 5];175(6):2004–10. </w:t>
      </w:r>
      <w:proofErr w:type="spellStart"/>
      <w:r>
        <w:rPr>
          <w:color w:val="333333"/>
        </w:rPr>
        <w:t>Available</w:t>
      </w:r>
      <w:proofErr w:type="spellEnd"/>
      <w:r>
        <w:rPr>
          <w:color w:val="333333"/>
        </w:rPr>
        <w:t xml:space="preserve"> </w:t>
      </w:r>
      <w:proofErr w:type="spellStart"/>
      <w:r>
        <w:rPr>
          <w:color w:val="333333"/>
        </w:rPr>
        <w:t>from</w:t>
      </w:r>
      <w:proofErr w:type="spellEnd"/>
      <w:r>
        <w:rPr>
          <w:color w:val="333333"/>
        </w:rPr>
        <w:t xml:space="preserve">: </w:t>
      </w:r>
      <w:hyperlink r:id="rId12">
        <w:r>
          <w:rPr>
            <w:color w:val="1155CC"/>
            <w:u w:val="single"/>
          </w:rPr>
          <w:t>https://doi.org/10.1016/S0022-5347(06)0026</w:t>
        </w:r>
      </w:hyperlink>
    </w:p>
    <w:p w14:paraId="773D068E" w14:textId="77777777" w:rsidR="005448E1" w:rsidRDefault="005448E1">
      <w:pPr>
        <w:spacing w:line="360" w:lineRule="auto"/>
        <w:jc w:val="center"/>
        <w:rPr>
          <w:b/>
          <w:u w:val="single"/>
        </w:rPr>
      </w:pPr>
    </w:p>
    <w:p w14:paraId="7B315B43" w14:textId="77777777" w:rsidR="005448E1" w:rsidRDefault="005448E1">
      <w:pPr>
        <w:spacing w:line="360" w:lineRule="auto"/>
        <w:jc w:val="center"/>
        <w:rPr>
          <w:b/>
          <w:u w:val="single"/>
        </w:rPr>
      </w:pPr>
    </w:p>
    <w:p w14:paraId="2F8705EA" w14:textId="77777777" w:rsidR="005448E1" w:rsidRDefault="005448E1">
      <w:pPr>
        <w:spacing w:line="360" w:lineRule="auto"/>
        <w:jc w:val="center"/>
        <w:rPr>
          <w:b/>
          <w:u w:val="single"/>
        </w:rPr>
      </w:pPr>
    </w:p>
    <w:p w14:paraId="69FA9D20" w14:textId="77777777" w:rsidR="005448E1" w:rsidRDefault="005448E1">
      <w:pPr>
        <w:spacing w:line="360" w:lineRule="auto"/>
        <w:jc w:val="center"/>
        <w:rPr>
          <w:b/>
          <w:u w:val="single"/>
        </w:rPr>
      </w:pPr>
    </w:p>
    <w:p w14:paraId="4E6ABA87" w14:textId="77777777" w:rsidR="005448E1" w:rsidRDefault="005448E1">
      <w:pPr>
        <w:spacing w:line="360" w:lineRule="auto"/>
        <w:jc w:val="center"/>
        <w:rPr>
          <w:b/>
          <w:u w:val="single"/>
        </w:rPr>
      </w:pPr>
    </w:p>
    <w:p w14:paraId="6F82A814" w14:textId="77777777" w:rsidR="005448E1" w:rsidRDefault="005448E1">
      <w:pPr>
        <w:spacing w:line="360" w:lineRule="auto"/>
        <w:jc w:val="center"/>
        <w:rPr>
          <w:b/>
          <w:u w:val="single"/>
        </w:rPr>
      </w:pPr>
    </w:p>
    <w:p w14:paraId="0276FBB5" w14:textId="77777777" w:rsidR="005448E1" w:rsidRDefault="005448E1">
      <w:pPr>
        <w:spacing w:line="360" w:lineRule="auto"/>
        <w:jc w:val="center"/>
        <w:rPr>
          <w:b/>
          <w:u w:val="single"/>
        </w:rPr>
      </w:pPr>
    </w:p>
    <w:p w14:paraId="29A30C92" w14:textId="77777777" w:rsidR="005448E1" w:rsidRDefault="005448E1">
      <w:pPr>
        <w:spacing w:line="360" w:lineRule="auto"/>
        <w:jc w:val="center"/>
        <w:rPr>
          <w:b/>
          <w:u w:val="single"/>
        </w:rPr>
      </w:pPr>
    </w:p>
    <w:p w14:paraId="6F261142" w14:textId="77777777" w:rsidR="005448E1" w:rsidRDefault="005448E1">
      <w:pPr>
        <w:spacing w:line="360" w:lineRule="auto"/>
        <w:jc w:val="center"/>
        <w:rPr>
          <w:b/>
          <w:u w:val="single"/>
        </w:rPr>
      </w:pPr>
    </w:p>
    <w:p w14:paraId="2271081D" w14:textId="77777777" w:rsidR="005448E1" w:rsidRDefault="005448E1">
      <w:pPr>
        <w:spacing w:line="360" w:lineRule="auto"/>
        <w:jc w:val="center"/>
        <w:rPr>
          <w:b/>
          <w:u w:val="single"/>
        </w:rPr>
      </w:pPr>
    </w:p>
    <w:p w14:paraId="65511307" w14:textId="77777777" w:rsidR="005448E1" w:rsidRDefault="005448E1">
      <w:pPr>
        <w:spacing w:line="360" w:lineRule="auto"/>
        <w:jc w:val="center"/>
        <w:rPr>
          <w:b/>
          <w:u w:val="single"/>
        </w:rPr>
      </w:pPr>
    </w:p>
    <w:p w14:paraId="7253F338" w14:textId="77777777" w:rsidR="005448E1" w:rsidRDefault="005448E1">
      <w:pPr>
        <w:spacing w:line="360" w:lineRule="auto"/>
        <w:jc w:val="center"/>
        <w:rPr>
          <w:b/>
          <w:u w:val="single"/>
        </w:rPr>
      </w:pPr>
    </w:p>
    <w:p w14:paraId="602BB95D" w14:textId="77777777" w:rsidR="00767323" w:rsidRDefault="00767323" w:rsidP="00767323">
      <w:pPr>
        <w:spacing w:line="360" w:lineRule="auto"/>
        <w:rPr>
          <w:b/>
          <w:u w:val="single"/>
        </w:rPr>
      </w:pPr>
    </w:p>
    <w:p w14:paraId="3F9086EF" w14:textId="77777777" w:rsidR="00767323" w:rsidRDefault="00767323" w:rsidP="00767323">
      <w:pPr>
        <w:spacing w:line="360" w:lineRule="auto"/>
        <w:rPr>
          <w:b/>
          <w:u w:val="single"/>
        </w:rPr>
      </w:pPr>
    </w:p>
    <w:p w14:paraId="78E47850" w14:textId="087304EC" w:rsidR="005448E1" w:rsidRDefault="00000000" w:rsidP="00767323">
      <w:pPr>
        <w:spacing w:line="360" w:lineRule="auto"/>
        <w:rPr>
          <w:b/>
          <w:u w:val="single"/>
        </w:rPr>
      </w:pPr>
      <w:r>
        <w:rPr>
          <w:b/>
          <w:u w:val="single"/>
        </w:rPr>
        <w:lastRenderedPageBreak/>
        <w:t xml:space="preserve">ANEXOS </w:t>
      </w:r>
    </w:p>
    <w:p w14:paraId="6FE88142" w14:textId="77777777" w:rsidR="005448E1" w:rsidRDefault="005448E1">
      <w:pPr>
        <w:spacing w:line="360" w:lineRule="auto"/>
        <w:rPr>
          <w:b/>
          <w:u w:val="single"/>
        </w:rPr>
      </w:pPr>
    </w:p>
    <w:p w14:paraId="45B3A5E8" w14:textId="77777777" w:rsidR="005448E1" w:rsidRDefault="00000000">
      <w:pPr>
        <w:spacing w:line="360" w:lineRule="auto"/>
        <w:rPr>
          <w:b/>
          <w:u w:val="single"/>
        </w:rPr>
      </w:pPr>
      <w:r>
        <w:rPr>
          <w:b/>
          <w:u w:val="single"/>
        </w:rPr>
        <w:t xml:space="preserve">ANEXO 1: Protocolo de Administración y Seguimiento BCG </w:t>
      </w:r>
    </w:p>
    <w:p w14:paraId="17F08289" w14:textId="77777777" w:rsidR="005448E1" w:rsidRDefault="005448E1">
      <w:pPr>
        <w:spacing w:line="360" w:lineRule="auto"/>
        <w:rPr>
          <w:b/>
          <w:u w:val="single"/>
        </w:rPr>
      </w:pPr>
    </w:p>
    <w:p w14:paraId="00CC7FAA" w14:textId="77777777" w:rsidR="005448E1" w:rsidRDefault="00000000">
      <w:pPr>
        <w:spacing w:line="360" w:lineRule="auto"/>
        <w:rPr>
          <w:b/>
          <w:u w:val="single"/>
        </w:rPr>
      </w:pPr>
      <w:r>
        <w:rPr>
          <w:b/>
          <w:u w:val="single"/>
        </w:rPr>
        <w:t>Identificación y citación de los pacientes</w:t>
      </w:r>
    </w:p>
    <w:p w14:paraId="404A5195" w14:textId="77777777" w:rsidR="005448E1" w:rsidRDefault="00000000">
      <w:pPr>
        <w:numPr>
          <w:ilvl w:val="0"/>
          <w:numId w:val="1"/>
        </w:numPr>
        <w:spacing w:line="360" w:lineRule="auto"/>
      </w:pPr>
      <w:r>
        <w:t xml:space="preserve">Presentación a comité oncológico por tratante (urólogo) para definir riesgo y tiempo de tratamiento. Revisión de biopsia dentro de 2-3 semanas. </w:t>
      </w:r>
    </w:p>
    <w:p w14:paraId="7E289D23" w14:textId="77777777" w:rsidR="005448E1" w:rsidRDefault="00000000">
      <w:pPr>
        <w:spacing w:line="360" w:lineRule="auto"/>
        <w:ind w:left="720"/>
      </w:pPr>
      <w:r>
        <w:rPr>
          <w:u w:val="single"/>
        </w:rPr>
        <w:t>Encargado</w:t>
      </w:r>
      <w:r>
        <w:t xml:space="preserve">: Técnico </w:t>
      </w:r>
      <w:proofErr w:type="spellStart"/>
      <w:r>
        <w:t>paramedico</w:t>
      </w:r>
      <w:proofErr w:type="spellEnd"/>
      <w:r>
        <w:t>: Urólogo tratante</w:t>
      </w:r>
    </w:p>
    <w:p w14:paraId="7721557A" w14:textId="77777777" w:rsidR="005448E1" w:rsidRDefault="00000000">
      <w:pPr>
        <w:numPr>
          <w:ilvl w:val="0"/>
          <w:numId w:val="1"/>
        </w:numPr>
        <w:spacing w:line="360" w:lineRule="auto"/>
      </w:pPr>
      <w:r>
        <w:t xml:space="preserve">Citación del paciente para educación y programación del primer ciclo de tratamiento. </w:t>
      </w:r>
    </w:p>
    <w:p w14:paraId="54D91CA2" w14:textId="77777777" w:rsidR="005448E1" w:rsidRDefault="00000000">
      <w:pPr>
        <w:spacing w:line="360" w:lineRule="auto"/>
        <w:ind w:left="720"/>
      </w:pPr>
      <w:r>
        <w:t>Esta citación se realizó días posterior a la presentación para iniciar los ciclos dentro 4 semanas desde su indicación.</w:t>
      </w:r>
    </w:p>
    <w:p w14:paraId="282C61AC" w14:textId="77777777" w:rsidR="005448E1" w:rsidRDefault="00000000">
      <w:pPr>
        <w:spacing w:line="360" w:lineRule="auto"/>
        <w:ind w:left="720"/>
      </w:pPr>
      <w:r>
        <w:rPr>
          <w:u w:val="single"/>
        </w:rPr>
        <w:t>Encargado</w:t>
      </w:r>
      <w:r>
        <w:t xml:space="preserve">: Técnico </w:t>
      </w:r>
      <w:proofErr w:type="spellStart"/>
      <w:r>
        <w:t>paramedico</w:t>
      </w:r>
      <w:proofErr w:type="spellEnd"/>
      <w:r>
        <w:t xml:space="preserve">: </w:t>
      </w:r>
      <w:proofErr w:type="spellStart"/>
      <w:r>
        <w:t>Nataly</w:t>
      </w:r>
      <w:proofErr w:type="spellEnd"/>
      <w:r>
        <w:t xml:space="preserve"> Pino</w:t>
      </w:r>
    </w:p>
    <w:p w14:paraId="49ABCFC3" w14:textId="77777777" w:rsidR="005448E1" w:rsidRDefault="00000000">
      <w:pPr>
        <w:numPr>
          <w:ilvl w:val="0"/>
          <w:numId w:val="1"/>
        </w:numPr>
        <w:spacing w:line="360" w:lineRule="auto"/>
      </w:pPr>
      <w:r>
        <w:t xml:space="preserve">Se solicitó exámenes de orina a todos los pacientes previo a la administración, asegurando Urocultivo negativo previo. </w:t>
      </w:r>
    </w:p>
    <w:p w14:paraId="5F4E423B" w14:textId="77777777" w:rsidR="005448E1" w:rsidRDefault="00000000">
      <w:pPr>
        <w:spacing w:line="360" w:lineRule="auto"/>
        <w:ind w:left="720"/>
      </w:pPr>
      <w:r>
        <w:t xml:space="preserve"> </w:t>
      </w:r>
      <w:r>
        <w:rPr>
          <w:u w:val="single"/>
        </w:rPr>
        <w:t>Encargado</w:t>
      </w:r>
      <w:r>
        <w:t xml:space="preserve">: Técnico </w:t>
      </w:r>
      <w:proofErr w:type="spellStart"/>
      <w:r>
        <w:t>paramedico</w:t>
      </w:r>
      <w:proofErr w:type="spellEnd"/>
      <w:r>
        <w:t xml:space="preserve">: </w:t>
      </w:r>
      <w:proofErr w:type="spellStart"/>
      <w:r>
        <w:t>Nataly</w:t>
      </w:r>
      <w:proofErr w:type="spellEnd"/>
      <w:r>
        <w:t xml:space="preserve"> Pino</w:t>
      </w:r>
    </w:p>
    <w:p w14:paraId="584FBBD5" w14:textId="77777777" w:rsidR="005448E1" w:rsidRDefault="005448E1">
      <w:pPr>
        <w:spacing w:line="360" w:lineRule="auto"/>
        <w:ind w:left="720"/>
      </w:pPr>
    </w:p>
    <w:p w14:paraId="05E5B186" w14:textId="77777777" w:rsidR="005448E1" w:rsidRDefault="00000000">
      <w:pPr>
        <w:spacing w:line="360" w:lineRule="auto"/>
        <w:jc w:val="both"/>
      </w:pPr>
      <w:r>
        <w:rPr>
          <w:b/>
          <w:u w:val="single"/>
        </w:rPr>
        <w:t>Detalles de la administración, cateterismo, seguimiento y manejo de efectos adversos</w:t>
      </w:r>
    </w:p>
    <w:p w14:paraId="57D81EAC" w14:textId="77777777" w:rsidR="005448E1" w:rsidRDefault="005448E1">
      <w:pPr>
        <w:spacing w:line="360" w:lineRule="auto"/>
        <w:jc w:val="both"/>
      </w:pPr>
    </w:p>
    <w:p w14:paraId="191D80C8" w14:textId="77777777" w:rsidR="005448E1" w:rsidRDefault="00000000">
      <w:pPr>
        <w:spacing w:line="360" w:lineRule="auto"/>
        <w:jc w:val="both"/>
      </w:pPr>
      <w:r>
        <w:t xml:space="preserve">Utilizamos el esquema de administración del Protocolo SWOG en dosis 120 mg (4 ampollas de 30mg en 50 ml) de BCG, Cepa </w:t>
      </w:r>
      <w:proofErr w:type="spellStart"/>
      <w:r>
        <w:t>Danish</w:t>
      </w:r>
      <w:proofErr w:type="spellEnd"/>
      <w:r>
        <w:t>.</w:t>
      </w:r>
    </w:p>
    <w:p w14:paraId="1BE23966" w14:textId="77777777" w:rsidR="005448E1" w:rsidRDefault="00000000">
      <w:pPr>
        <w:spacing w:line="360" w:lineRule="auto"/>
        <w:jc w:val="both"/>
      </w:pPr>
      <w:r>
        <w:t xml:space="preserve">Fase de Inducción por 6 semanas y luego trisemanal a los 3 - 6 y 12 meses para Riesgo Intermedio y 18 - 24 - 30 y 36 meses para Riesgo Alto. </w:t>
      </w:r>
    </w:p>
    <w:p w14:paraId="50C0AF22" w14:textId="77777777" w:rsidR="005448E1" w:rsidRDefault="00000000">
      <w:pPr>
        <w:spacing w:line="360" w:lineRule="auto"/>
        <w:jc w:val="both"/>
      </w:pPr>
      <w:r>
        <w:t xml:space="preserve">El cateterismo se realizó en un 100% por Urólogos, asistidos por personal paramédicos, con lubricante uretral y sonda </w:t>
      </w:r>
      <w:proofErr w:type="spellStart"/>
      <w:r>
        <w:t>nelaton</w:t>
      </w:r>
      <w:proofErr w:type="spellEnd"/>
      <w:r>
        <w:t xml:space="preserve"> N 14, bajo técnica </w:t>
      </w:r>
      <w:proofErr w:type="spellStart"/>
      <w:r>
        <w:t>esteril</w:t>
      </w:r>
      <w:proofErr w:type="spellEnd"/>
      <w:r>
        <w:t>.</w:t>
      </w:r>
    </w:p>
    <w:p w14:paraId="0B0B8438" w14:textId="77777777" w:rsidR="005448E1" w:rsidRDefault="00000000">
      <w:pPr>
        <w:spacing w:line="360" w:lineRule="auto"/>
        <w:jc w:val="both"/>
      </w:pPr>
      <w:r>
        <w:t xml:space="preserve">Se realizó el vaciado vesical y luego la instilación de la BCG en 50 ml suero fisiológico, durante 60 segundos, girando en la camilla cada 15 minutos por 1 hora. </w:t>
      </w:r>
    </w:p>
    <w:p w14:paraId="53DC1C27" w14:textId="77777777" w:rsidR="005448E1" w:rsidRDefault="00000000">
      <w:pPr>
        <w:spacing w:line="360" w:lineRule="auto"/>
        <w:jc w:val="both"/>
      </w:pPr>
      <w:r>
        <w:t xml:space="preserve">Se indicó además quinolonas con Ciprofloxacino, a las 6 y 12 </w:t>
      </w:r>
      <w:proofErr w:type="spellStart"/>
      <w:r>
        <w:t>hrs</w:t>
      </w:r>
      <w:proofErr w:type="spellEnd"/>
      <w:r>
        <w:t xml:space="preserve">. posterior a </w:t>
      </w:r>
      <w:proofErr w:type="gramStart"/>
      <w:r>
        <w:t>la  instilación</w:t>
      </w:r>
      <w:proofErr w:type="gramEnd"/>
      <w:r>
        <w:t xml:space="preserve"> para disminuir los efectos adversos. </w:t>
      </w:r>
    </w:p>
    <w:p w14:paraId="3E30ECC5" w14:textId="77777777" w:rsidR="005448E1" w:rsidRDefault="005448E1">
      <w:pPr>
        <w:spacing w:line="360" w:lineRule="auto"/>
        <w:jc w:val="both"/>
      </w:pPr>
    </w:p>
    <w:p w14:paraId="75F80AEB" w14:textId="77777777" w:rsidR="005448E1" w:rsidRDefault="00000000">
      <w:pPr>
        <w:spacing w:line="360" w:lineRule="auto"/>
      </w:pPr>
      <w:r>
        <w:rPr>
          <w:u w:val="single"/>
        </w:rPr>
        <w:t>Encargado</w:t>
      </w:r>
      <w:r>
        <w:t>: Médico Urólogo</w:t>
      </w:r>
    </w:p>
    <w:p w14:paraId="47C7D2E8" w14:textId="77777777" w:rsidR="005448E1" w:rsidRDefault="005448E1">
      <w:pPr>
        <w:spacing w:line="360" w:lineRule="auto"/>
        <w:jc w:val="both"/>
      </w:pPr>
    </w:p>
    <w:p w14:paraId="57F2D995" w14:textId="77777777" w:rsidR="005448E1" w:rsidRDefault="00000000">
      <w:pPr>
        <w:spacing w:line="360" w:lineRule="auto"/>
        <w:jc w:val="both"/>
        <w:rPr>
          <w:b/>
          <w:u w:val="single"/>
        </w:rPr>
      </w:pPr>
      <w:r>
        <w:rPr>
          <w:b/>
          <w:u w:val="single"/>
        </w:rPr>
        <w:t>Seguimiento de efectos adversos</w:t>
      </w:r>
    </w:p>
    <w:p w14:paraId="1A921806" w14:textId="77777777" w:rsidR="005448E1" w:rsidRDefault="00000000">
      <w:pPr>
        <w:spacing w:line="360" w:lineRule="auto"/>
        <w:jc w:val="both"/>
      </w:pPr>
      <w:r>
        <w:t xml:space="preserve">Para el monitoreo </w:t>
      </w:r>
      <w:proofErr w:type="gramStart"/>
      <w:r>
        <w:t>de  los</w:t>
      </w:r>
      <w:proofErr w:type="gramEnd"/>
      <w:r>
        <w:t xml:space="preserve"> efectos adversos, se contactó a estos pacientes por personal paramédico a las 48 horas desde su instilación. Si persistían más de 48hrs, los pacientes podían acudir al box de procedimientos donde eran atendidos por urólogo en caso de ser necesario. </w:t>
      </w:r>
    </w:p>
    <w:p w14:paraId="71B0716C" w14:textId="77777777" w:rsidR="005448E1" w:rsidRDefault="005448E1">
      <w:pPr>
        <w:spacing w:line="360" w:lineRule="auto"/>
        <w:jc w:val="both"/>
      </w:pPr>
    </w:p>
    <w:p w14:paraId="18FC34DF" w14:textId="77777777" w:rsidR="005448E1" w:rsidRDefault="00000000">
      <w:pPr>
        <w:spacing w:line="360" w:lineRule="auto"/>
      </w:pPr>
      <w:r>
        <w:rPr>
          <w:u w:val="single"/>
        </w:rPr>
        <w:lastRenderedPageBreak/>
        <w:t>Encargado</w:t>
      </w:r>
      <w:r>
        <w:t xml:space="preserve">: Técnico </w:t>
      </w:r>
      <w:proofErr w:type="spellStart"/>
      <w:r>
        <w:t>paramedico</w:t>
      </w:r>
      <w:proofErr w:type="spellEnd"/>
      <w:r>
        <w:t xml:space="preserve">: </w:t>
      </w:r>
      <w:proofErr w:type="spellStart"/>
      <w:r>
        <w:t>Nataly</w:t>
      </w:r>
      <w:proofErr w:type="spellEnd"/>
      <w:r>
        <w:t xml:space="preserve"> Pino</w:t>
      </w:r>
    </w:p>
    <w:p w14:paraId="1E85136C" w14:textId="77777777" w:rsidR="005448E1" w:rsidRDefault="005448E1">
      <w:pPr>
        <w:spacing w:line="360" w:lineRule="auto"/>
        <w:jc w:val="both"/>
      </w:pPr>
    </w:p>
    <w:p w14:paraId="7246E9DA" w14:textId="77777777" w:rsidR="005448E1" w:rsidRDefault="005448E1">
      <w:pPr>
        <w:spacing w:line="360" w:lineRule="auto"/>
        <w:jc w:val="both"/>
      </w:pPr>
    </w:p>
    <w:p w14:paraId="2586454F" w14:textId="77777777" w:rsidR="005448E1" w:rsidRDefault="00000000">
      <w:pPr>
        <w:spacing w:line="360" w:lineRule="auto"/>
        <w:jc w:val="both"/>
      </w:pPr>
      <w:r>
        <w:rPr>
          <w:b/>
          <w:u w:val="single"/>
        </w:rPr>
        <w:t>Manejo de efectos adversos</w:t>
      </w:r>
    </w:p>
    <w:p w14:paraId="2B1DBDF1" w14:textId="77777777" w:rsidR="005448E1" w:rsidRDefault="005448E1">
      <w:pPr>
        <w:spacing w:line="360" w:lineRule="auto"/>
        <w:jc w:val="both"/>
      </w:pPr>
    </w:p>
    <w:p w14:paraId="2F0CA303" w14:textId="77777777" w:rsidR="005448E1" w:rsidRDefault="00000000">
      <w:pPr>
        <w:spacing w:line="360" w:lineRule="auto"/>
        <w:jc w:val="both"/>
      </w:pPr>
      <w:r>
        <w:t xml:space="preserve">Los tratamientos por efecto </w:t>
      </w:r>
      <w:proofErr w:type="gramStart"/>
      <w:r>
        <w:t>adverso,</w:t>
      </w:r>
      <w:proofErr w:type="gramEnd"/>
      <w:r>
        <w:t xml:space="preserve"> fueron definidos previamente, de la siguiente forma: </w:t>
      </w:r>
    </w:p>
    <w:p w14:paraId="12D6897A" w14:textId="77777777" w:rsidR="005448E1" w:rsidRDefault="00000000">
      <w:pPr>
        <w:numPr>
          <w:ilvl w:val="0"/>
          <w:numId w:val="2"/>
        </w:numPr>
        <w:spacing w:line="360" w:lineRule="auto"/>
        <w:jc w:val="both"/>
      </w:pPr>
      <w:r>
        <w:t xml:space="preserve"> ITU con ATB por 7 días.</w:t>
      </w:r>
      <w:r>
        <w:rPr>
          <w:highlight w:val="yellow"/>
        </w:rPr>
        <w:t xml:space="preserve"> </w:t>
      </w:r>
    </w:p>
    <w:p w14:paraId="4B64C990" w14:textId="77777777" w:rsidR="005448E1" w:rsidRDefault="00000000">
      <w:pPr>
        <w:numPr>
          <w:ilvl w:val="0"/>
          <w:numId w:val="2"/>
        </w:numPr>
        <w:spacing w:line="360" w:lineRule="auto"/>
        <w:jc w:val="both"/>
      </w:pPr>
      <w:r>
        <w:t xml:space="preserve"> Hematuria: anticolinérgicos y antiinflamatorios, en caso de persistencia cistoscopia. </w:t>
      </w:r>
    </w:p>
    <w:p w14:paraId="749574A6" w14:textId="77777777" w:rsidR="005448E1" w:rsidRDefault="00000000">
      <w:pPr>
        <w:numPr>
          <w:ilvl w:val="0"/>
          <w:numId w:val="2"/>
        </w:numPr>
        <w:spacing w:line="360" w:lineRule="auto"/>
        <w:jc w:val="both"/>
      </w:pPr>
      <w:r>
        <w:t xml:space="preserve">Síntomas irritativos mayores de 48hrs. Manejados inicialmente con antiinflamatorios y anticolinérgicos, en caso de persistencia con Urocultivo negativo ATB quinolonas y corticoides por 15 días. Si los síntomas persisten, eventual terapia antituberculosa. </w:t>
      </w:r>
    </w:p>
    <w:p w14:paraId="24A8EE41" w14:textId="77777777" w:rsidR="005448E1" w:rsidRDefault="00000000">
      <w:pPr>
        <w:numPr>
          <w:ilvl w:val="0"/>
          <w:numId w:val="2"/>
        </w:numPr>
        <w:spacing w:line="360" w:lineRule="auto"/>
        <w:jc w:val="both"/>
      </w:pPr>
      <w:r>
        <w:t xml:space="preserve">Síntomas sistémicos: evaluación previa con Uro y Hemocultivos, </w:t>
      </w:r>
      <w:proofErr w:type="spellStart"/>
      <w:r>
        <w:t>Rx</w:t>
      </w:r>
      <w:proofErr w:type="spellEnd"/>
      <w:r>
        <w:t xml:space="preserve"> Tórax y antiinflamatorios, quinolonas y ciprofloxacino por 15 días.  </w:t>
      </w:r>
    </w:p>
    <w:p w14:paraId="7FC9074E" w14:textId="77777777" w:rsidR="005448E1" w:rsidRDefault="005448E1">
      <w:pPr>
        <w:spacing w:line="360" w:lineRule="auto"/>
        <w:jc w:val="both"/>
      </w:pPr>
    </w:p>
    <w:p w14:paraId="5E2A376A" w14:textId="77777777" w:rsidR="005448E1" w:rsidRDefault="00000000">
      <w:pPr>
        <w:spacing w:line="360" w:lineRule="auto"/>
      </w:pPr>
      <w:r>
        <w:rPr>
          <w:u w:val="single"/>
        </w:rPr>
        <w:t>Encargado</w:t>
      </w:r>
      <w:r>
        <w:t>: Médico Urólogo</w:t>
      </w:r>
    </w:p>
    <w:p w14:paraId="149CD5EC" w14:textId="77777777" w:rsidR="005448E1" w:rsidRDefault="005448E1">
      <w:pPr>
        <w:spacing w:line="360" w:lineRule="auto"/>
        <w:rPr>
          <w:b/>
          <w:u w:val="single"/>
        </w:rPr>
      </w:pPr>
    </w:p>
    <w:p w14:paraId="5FC76E3D" w14:textId="77777777" w:rsidR="005448E1" w:rsidRDefault="005448E1">
      <w:pPr>
        <w:spacing w:line="360" w:lineRule="auto"/>
        <w:rPr>
          <w:b/>
          <w:u w:val="single"/>
        </w:rPr>
      </w:pPr>
    </w:p>
    <w:p w14:paraId="00DCFA26" w14:textId="77777777" w:rsidR="005448E1" w:rsidRDefault="005448E1">
      <w:pPr>
        <w:spacing w:line="360" w:lineRule="auto"/>
        <w:rPr>
          <w:b/>
          <w:u w:val="single"/>
        </w:rPr>
      </w:pPr>
    </w:p>
    <w:p w14:paraId="38752B11" w14:textId="77777777" w:rsidR="005448E1" w:rsidRDefault="005448E1">
      <w:pPr>
        <w:spacing w:line="360" w:lineRule="auto"/>
        <w:rPr>
          <w:b/>
          <w:u w:val="single"/>
        </w:rPr>
      </w:pPr>
    </w:p>
    <w:p w14:paraId="02020BEA" w14:textId="77777777" w:rsidR="005448E1" w:rsidRDefault="005448E1">
      <w:pPr>
        <w:spacing w:line="360" w:lineRule="auto"/>
        <w:rPr>
          <w:b/>
          <w:u w:val="single"/>
        </w:rPr>
      </w:pPr>
    </w:p>
    <w:p w14:paraId="238FBBB1" w14:textId="77777777" w:rsidR="005448E1" w:rsidRDefault="005448E1">
      <w:pPr>
        <w:spacing w:line="360" w:lineRule="auto"/>
        <w:rPr>
          <w:b/>
          <w:u w:val="single"/>
        </w:rPr>
      </w:pPr>
    </w:p>
    <w:p w14:paraId="5C204B2B" w14:textId="77777777" w:rsidR="005448E1" w:rsidRDefault="005448E1">
      <w:pPr>
        <w:spacing w:line="360" w:lineRule="auto"/>
        <w:rPr>
          <w:b/>
          <w:u w:val="single"/>
        </w:rPr>
      </w:pPr>
    </w:p>
    <w:p w14:paraId="5DF0A79B" w14:textId="77777777" w:rsidR="005448E1" w:rsidRDefault="005448E1">
      <w:pPr>
        <w:spacing w:line="360" w:lineRule="auto"/>
        <w:rPr>
          <w:b/>
          <w:u w:val="single"/>
        </w:rPr>
      </w:pPr>
    </w:p>
    <w:p w14:paraId="745AD03A" w14:textId="77777777" w:rsidR="005448E1" w:rsidRDefault="005448E1">
      <w:pPr>
        <w:spacing w:line="360" w:lineRule="auto"/>
        <w:rPr>
          <w:b/>
          <w:u w:val="single"/>
        </w:rPr>
      </w:pPr>
    </w:p>
    <w:p w14:paraId="5AF348FD" w14:textId="77777777" w:rsidR="005448E1" w:rsidRDefault="005448E1">
      <w:pPr>
        <w:spacing w:line="360" w:lineRule="auto"/>
        <w:rPr>
          <w:b/>
          <w:u w:val="single"/>
        </w:rPr>
      </w:pPr>
    </w:p>
    <w:p w14:paraId="4243FEC8" w14:textId="77777777" w:rsidR="005448E1" w:rsidRDefault="005448E1">
      <w:pPr>
        <w:spacing w:line="360" w:lineRule="auto"/>
        <w:rPr>
          <w:b/>
          <w:u w:val="single"/>
        </w:rPr>
      </w:pPr>
    </w:p>
    <w:p w14:paraId="45921593" w14:textId="77777777" w:rsidR="005448E1" w:rsidRDefault="005448E1">
      <w:pPr>
        <w:spacing w:line="360" w:lineRule="auto"/>
        <w:rPr>
          <w:b/>
          <w:u w:val="single"/>
        </w:rPr>
      </w:pPr>
    </w:p>
    <w:p w14:paraId="105276DB" w14:textId="77777777" w:rsidR="005448E1" w:rsidRDefault="005448E1">
      <w:pPr>
        <w:spacing w:line="360" w:lineRule="auto"/>
        <w:rPr>
          <w:b/>
          <w:u w:val="single"/>
        </w:rPr>
      </w:pPr>
    </w:p>
    <w:p w14:paraId="46A669DA" w14:textId="77777777" w:rsidR="005448E1" w:rsidRDefault="005448E1">
      <w:pPr>
        <w:spacing w:line="360" w:lineRule="auto"/>
        <w:rPr>
          <w:b/>
          <w:u w:val="single"/>
        </w:rPr>
      </w:pPr>
    </w:p>
    <w:p w14:paraId="7937B62B" w14:textId="77777777" w:rsidR="005448E1" w:rsidRDefault="005448E1">
      <w:pPr>
        <w:spacing w:line="360" w:lineRule="auto"/>
        <w:rPr>
          <w:b/>
          <w:u w:val="single"/>
        </w:rPr>
      </w:pPr>
    </w:p>
    <w:p w14:paraId="695497FD" w14:textId="77777777" w:rsidR="005448E1" w:rsidRDefault="005448E1">
      <w:pPr>
        <w:spacing w:line="360" w:lineRule="auto"/>
        <w:rPr>
          <w:b/>
          <w:u w:val="single"/>
        </w:rPr>
      </w:pPr>
    </w:p>
    <w:p w14:paraId="6D57B53A" w14:textId="77777777" w:rsidR="005448E1" w:rsidRDefault="005448E1">
      <w:pPr>
        <w:spacing w:line="360" w:lineRule="auto"/>
        <w:rPr>
          <w:b/>
          <w:u w:val="single"/>
        </w:rPr>
      </w:pPr>
    </w:p>
    <w:p w14:paraId="58D0569F" w14:textId="77777777" w:rsidR="005448E1" w:rsidRDefault="005448E1">
      <w:pPr>
        <w:spacing w:line="360" w:lineRule="auto"/>
        <w:rPr>
          <w:b/>
          <w:u w:val="single"/>
        </w:rPr>
      </w:pPr>
    </w:p>
    <w:p w14:paraId="4B9808D3" w14:textId="77777777" w:rsidR="005448E1" w:rsidRDefault="005448E1">
      <w:pPr>
        <w:spacing w:line="360" w:lineRule="auto"/>
        <w:rPr>
          <w:b/>
          <w:u w:val="single"/>
        </w:rPr>
      </w:pPr>
    </w:p>
    <w:p w14:paraId="2297522F" w14:textId="77777777" w:rsidR="005448E1" w:rsidRDefault="005448E1">
      <w:pPr>
        <w:spacing w:line="360" w:lineRule="auto"/>
        <w:rPr>
          <w:b/>
          <w:u w:val="single"/>
        </w:rPr>
      </w:pPr>
    </w:p>
    <w:p w14:paraId="22388C26" w14:textId="77777777" w:rsidR="005448E1" w:rsidRDefault="005448E1">
      <w:pPr>
        <w:spacing w:line="360" w:lineRule="auto"/>
        <w:rPr>
          <w:b/>
          <w:u w:val="single"/>
        </w:rPr>
      </w:pPr>
    </w:p>
    <w:p w14:paraId="6E6554AF" w14:textId="77777777" w:rsidR="005448E1" w:rsidRDefault="005448E1">
      <w:pPr>
        <w:spacing w:line="360" w:lineRule="auto"/>
        <w:rPr>
          <w:b/>
          <w:u w:val="single"/>
        </w:rPr>
      </w:pPr>
    </w:p>
    <w:p w14:paraId="406EB755" w14:textId="77777777" w:rsidR="005448E1" w:rsidRDefault="00000000">
      <w:pPr>
        <w:spacing w:line="360" w:lineRule="auto"/>
        <w:rPr>
          <w:b/>
          <w:u w:val="single"/>
        </w:rPr>
      </w:pPr>
      <w:r>
        <w:rPr>
          <w:b/>
          <w:u w:val="single"/>
        </w:rPr>
        <w:lastRenderedPageBreak/>
        <w:t>ANEXO 2: Encuesta de satisfacción usuaria sobre tratamiento con BCG intravesical</w:t>
      </w:r>
    </w:p>
    <w:p w14:paraId="727C1829" w14:textId="77777777" w:rsidR="005448E1" w:rsidRDefault="00000000">
      <w:pPr>
        <w:pStyle w:val="Ttulo1"/>
        <w:keepNext w:val="0"/>
        <w:keepLines w:val="0"/>
        <w:spacing w:before="480" w:after="0" w:line="168" w:lineRule="auto"/>
        <w:rPr>
          <w:rFonts w:ascii="Calibri" w:eastAsia="Calibri" w:hAnsi="Calibri" w:cs="Calibri"/>
          <w:b/>
          <w:color w:val="365F91"/>
          <w:sz w:val="28"/>
          <w:szCs w:val="28"/>
        </w:rPr>
      </w:pPr>
      <w:bookmarkStart w:id="0" w:name="_heading=h.o4s05odmnvlk" w:colFirst="0" w:colLast="0"/>
      <w:bookmarkEnd w:id="0"/>
      <w:r>
        <w:rPr>
          <w:rFonts w:ascii="Calibri" w:eastAsia="Calibri" w:hAnsi="Calibri" w:cs="Calibri"/>
          <w:b/>
          <w:color w:val="365F91"/>
          <w:sz w:val="28"/>
          <w:szCs w:val="28"/>
        </w:rPr>
        <w:t>Encuesta de Satisfacción en la Administración de BCG Intravesical</w:t>
      </w:r>
    </w:p>
    <w:p w14:paraId="1DB7C665" w14:textId="77777777" w:rsidR="005448E1" w:rsidRDefault="005448E1"/>
    <w:p w14:paraId="2E42E0F1" w14:textId="77777777" w:rsidR="005448E1" w:rsidRDefault="00000000">
      <w:pPr>
        <w:spacing w:after="200"/>
        <w:rPr>
          <w:rFonts w:ascii="Cambria" w:eastAsia="Cambria" w:hAnsi="Cambria" w:cs="Cambria"/>
        </w:rPr>
      </w:pPr>
      <w:r>
        <w:rPr>
          <w:rFonts w:ascii="Cambria" w:eastAsia="Cambria" w:hAnsi="Cambria" w:cs="Cambria"/>
        </w:rPr>
        <w:t>Por favor, evalúe los siguientes ítems en una escala de 1 a 5, donde 1 significa Muy insatisfecho y 5 significa Muy satisfecho.</w:t>
      </w:r>
    </w:p>
    <w:p w14:paraId="56BC45A1" w14:textId="77777777" w:rsidR="005448E1" w:rsidRDefault="00000000">
      <w:pPr>
        <w:spacing w:after="200"/>
        <w:rPr>
          <w:rFonts w:ascii="Cambria" w:eastAsia="Cambria" w:hAnsi="Cambria" w:cs="Cambria"/>
        </w:rPr>
      </w:pPr>
      <w:r>
        <w:rPr>
          <w:rFonts w:ascii="Cambria" w:eastAsia="Cambria" w:hAnsi="Cambria" w:cs="Cambria"/>
        </w:rPr>
        <w:t>1. Nivel de confort con el cateterismo</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5"/>
        <w:gridCol w:w="1805"/>
        <w:gridCol w:w="1805"/>
        <w:gridCol w:w="1805"/>
        <w:gridCol w:w="1805"/>
      </w:tblGrid>
      <w:tr w:rsidR="005448E1" w14:paraId="4FF6EC67" w14:textId="77777777">
        <w:trPr>
          <w:trHeight w:val="450"/>
        </w:trPr>
        <w:tc>
          <w:tcPr>
            <w:tcW w:w="1805" w:type="dxa"/>
            <w:tcBorders>
              <w:top w:val="nil"/>
              <w:left w:val="nil"/>
              <w:bottom w:val="nil"/>
              <w:right w:val="nil"/>
            </w:tcBorders>
            <w:tcMar>
              <w:top w:w="0" w:type="dxa"/>
              <w:left w:w="100" w:type="dxa"/>
              <w:bottom w:w="0" w:type="dxa"/>
              <w:right w:w="100" w:type="dxa"/>
            </w:tcMar>
          </w:tcPr>
          <w:p w14:paraId="0FC827A7" w14:textId="77777777" w:rsidR="005448E1" w:rsidRDefault="00000000">
            <w:pPr>
              <w:spacing w:after="200"/>
              <w:rPr>
                <w:rFonts w:ascii="Cambria" w:eastAsia="Cambria" w:hAnsi="Cambria" w:cs="Cambria"/>
              </w:rPr>
            </w:pPr>
            <w:r>
              <w:rPr>
                <w:rFonts w:ascii="Cambria" w:eastAsia="Cambria" w:hAnsi="Cambria" w:cs="Cambria"/>
              </w:rPr>
              <w:t>1</w:t>
            </w:r>
          </w:p>
        </w:tc>
        <w:tc>
          <w:tcPr>
            <w:tcW w:w="1805" w:type="dxa"/>
            <w:tcBorders>
              <w:top w:val="nil"/>
              <w:left w:val="nil"/>
              <w:bottom w:val="nil"/>
              <w:right w:val="nil"/>
            </w:tcBorders>
            <w:tcMar>
              <w:top w:w="0" w:type="dxa"/>
              <w:left w:w="100" w:type="dxa"/>
              <w:bottom w:w="0" w:type="dxa"/>
              <w:right w:w="100" w:type="dxa"/>
            </w:tcMar>
          </w:tcPr>
          <w:p w14:paraId="0CA5F64E" w14:textId="77777777" w:rsidR="005448E1" w:rsidRDefault="00000000">
            <w:pPr>
              <w:spacing w:after="200"/>
              <w:rPr>
                <w:rFonts w:ascii="Cambria" w:eastAsia="Cambria" w:hAnsi="Cambria" w:cs="Cambria"/>
              </w:rPr>
            </w:pPr>
            <w:r>
              <w:rPr>
                <w:rFonts w:ascii="Cambria" w:eastAsia="Cambria" w:hAnsi="Cambria" w:cs="Cambria"/>
              </w:rPr>
              <w:t>2</w:t>
            </w:r>
          </w:p>
        </w:tc>
        <w:tc>
          <w:tcPr>
            <w:tcW w:w="1805" w:type="dxa"/>
            <w:tcBorders>
              <w:top w:val="nil"/>
              <w:left w:val="nil"/>
              <w:bottom w:val="nil"/>
              <w:right w:val="nil"/>
            </w:tcBorders>
            <w:tcMar>
              <w:top w:w="0" w:type="dxa"/>
              <w:left w:w="100" w:type="dxa"/>
              <w:bottom w:w="0" w:type="dxa"/>
              <w:right w:w="100" w:type="dxa"/>
            </w:tcMar>
          </w:tcPr>
          <w:p w14:paraId="55E6D07F" w14:textId="77777777" w:rsidR="005448E1" w:rsidRDefault="00000000">
            <w:pPr>
              <w:spacing w:after="200"/>
              <w:rPr>
                <w:rFonts w:ascii="Cambria" w:eastAsia="Cambria" w:hAnsi="Cambria" w:cs="Cambria"/>
              </w:rPr>
            </w:pPr>
            <w:r>
              <w:rPr>
                <w:rFonts w:ascii="Cambria" w:eastAsia="Cambria" w:hAnsi="Cambria" w:cs="Cambria"/>
              </w:rPr>
              <w:t>3</w:t>
            </w:r>
          </w:p>
        </w:tc>
        <w:tc>
          <w:tcPr>
            <w:tcW w:w="1805" w:type="dxa"/>
            <w:tcBorders>
              <w:top w:val="nil"/>
              <w:left w:val="nil"/>
              <w:bottom w:val="nil"/>
              <w:right w:val="nil"/>
            </w:tcBorders>
            <w:tcMar>
              <w:top w:w="0" w:type="dxa"/>
              <w:left w:w="100" w:type="dxa"/>
              <w:bottom w:w="0" w:type="dxa"/>
              <w:right w:w="100" w:type="dxa"/>
            </w:tcMar>
          </w:tcPr>
          <w:p w14:paraId="12D980E4" w14:textId="77777777" w:rsidR="005448E1" w:rsidRDefault="00000000">
            <w:pPr>
              <w:spacing w:after="200"/>
              <w:rPr>
                <w:rFonts w:ascii="Cambria" w:eastAsia="Cambria" w:hAnsi="Cambria" w:cs="Cambria"/>
              </w:rPr>
            </w:pPr>
            <w:r>
              <w:rPr>
                <w:rFonts w:ascii="Cambria" w:eastAsia="Cambria" w:hAnsi="Cambria" w:cs="Cambria"/>
              </w:rPr>
              <w:t>4</w:t>
            </w:r>
          </w:p>
        </w:tc>
        <w:tc>
          <w:tcPr>
            <w:tcW w:w="1805" w:type="dxa"/>
            <w:tcBorders>
              <w:top w:val="nil"/>
              <w:left w:val="nil"/>
              <w:bottom w:val="nil"/>
              <w:right w:val="nil"/>
            </w:tcBorders>
            <w:tcMar>
              <w:top w:w="0" w:type="dxa"/>
              <w:left w:w="100" w:type="dxa"/>
              <w:bottom w:w="0" w:type="dxa"/>
              <w:right w:w="100" w:type="dxa"/>
            </w:tcMar>
          </w:tcPr>
          <w:p w14:paraId="3D325BC2" w14:textId="77777777" w:rsidR="005448E1" w:rsidRDefault="00000000">
            <w:pPr>
              <w:spacing w:after="200"/>
              <w:rPr>
                <w:rFonts w:ascii="Cambria" w:eastAsia="Cambria" w:hAnsi="Cambria" w:cs="Cambria"/>
              </w:rPr>
            </w:pPr>
            <w:r>
              <w:rPr>
                <w:rFonts w:ascii="Cambria" w:eastAsia="Cambria" w:hAnsi="Cambria" w:cs="Cambria"/>
              </w:rPr>
              <w:t>5</w:t>
            </w:r>
          </w:p>
        </w:tc>
      </w:tr>
    </w:tbl>
    <w:p w14:paraId="4ED81DD5" w14:textId="77777777" w:rsidR="005448E1" w:rsidRDefault="00000000">
      <w:pPr>
        <w:spacing w:after="200"/>
        <w:rPr>
          <w:rFonts w:ascii="Cambria" w:eastAsia="Cambria" w:hAnsi="Cambria" w:cs="Cambria"/>
        </w:rPr>
      </w:pPr>
      <w:r>
        <w:rPr>
          <w:rFonts w:ascii="Cambria" w:eastAsia="Cambria" w:hAnsi="Cambria" w:cs="Cambria"/>
        </w:rPr>
        <w:t xml:space="preserve"> </w:t>
      </w:r>
    </w:p>
    <w:p w14:paraId="53FD5C3B" w14:textId="77777777" w:rsidR="005448E1" w:rsidRDefault="00000000">
      <w:pPr>
        <w:spacing w:after="200"/>
        <w:rPr>
          <w:rFonts w:ascii="Cambria" w:eastAsia="Cambria" w:hAnsi="Cambria" w:cs="Cambria"/>
        </w:rPr>
      </w:pPr>
      <w:r>
        <w:rPr>
          <w:rFonts w:ascii="Cambria" w:eastAsia="Cambria" w:hAnsi="Cambria" w:cs="Cambria"/>
        </w:rPr>
        <w:t>2. Sensación de nivel de seguridad del procedimiento al ser realizado por urólogo</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5"/>
        <w:gridCol w:w="1805"/>
        <w:gridCol w:w="1805"/>
        <w:gridCol w:w="1805"/>
        <w:gridCol w:w="1805"/>
      </w:tblGrid>
      <w:tr w:rsidR="005448E1" w14:paraId="5A5D8899" w14:textId="77777777">
        <w:trPr>
          <w:trHeight w:val="450"/>
        </w:trPr>
        <w:tc>
          <w:tcPr>
            <w:tcW w:w="1805" w:type="dxa"/>
            <w:tcBorders>
              <w:top w:val="nil"/>
              <w:left w:val="nil"/>
              <w:bottom w:val="nil"/>
              <w:right w:val="nil"/>
            </w:tcBorders>
            <w:tcMar>
              <w:top w:w="0" w:type="dxa"/>
              <w:left w:w="100" w:type="dxa"/>
              <w:bottom w:w="0" w:type="dxa"/>
              <w:right w:w="100" w:type="dxa"/>
            </w:tcMar>
          </w:tcPr>
          <w:p w14:paraId="39C813D5" w14:textId="77777777" w:rsidR="005448E1" w:rsidRDefault="00000000">
            <w:pPr>
              <w:spacing w:after="200"/>
              <w:rPr>
                <w:rFonts w:ascii="Cambria" w:eastAsia="Cambria" w:hAnsi="Cambria" w:cs="Cambria"/>
              </w:rPr>
            </w:pPr>
            <w:r>
              <w:rPr>
                <w:rFonts w:ascii="Cambria" w:eastAsia="Cambria" w:hAnsi="Cambria" w:cs="Cambria"/>
              </w:rPr>
              <w:t>1</w:t>
            </w:r>
          </w:p>
        </w:tc>
        <w:tc>
          <w:tcPr>
            <w:tcW w:w="1805" w:type="dxa"/>
            <w:tcBorders>
              <w:top w:val="nil"/>
              <w:left w:val="nil"/>
              <w:bottom w:val="nil"/>
              <w:right w:val="nil"/>
            </w:tcBorders>
            <w:tcMar>
              <w:top w:w="0" w:type="dxa"/>
              <w:left w:w="100" w:type="dxa"/>
              <w:bottom w:w="0" w:type="dxa"/>
              <w:right w:w="100" w:type="dxa"/>
            </w:tcMar>
          </w:tcPr>
          <w:p w14:paraId="4BADA865" w14:textId="77777777" w:rsidR="005448E1" w:rsidRDefault="00000000">
            <w:pPr>
              <w:spacing w:after="200"/>
              <w:rPr>
                <w:rFonts w:ascii="Cambria" w:eastAsia="Cambria" w:hAnsi="Cambria" w:cs="Cambria"/>
              </w:rPr>
            </w:pPr>
            <w:r>
              <w:rPr>
                <w:rFonts w:ascii="Cambria" w:eastAsia="Cambria" w:hAnsi="Cambria" w:cs="Cambria"/>
              </w:rPr>
              <w:t>2</w:t>
            </w:r>
          </w:p>
        </w:tc>
        <w:tc>
          <w:tcPr>
            <w:tcW w:w="1805" w:type="dxa"/>
            <w:tcBorders>
              <w:top w:val="nil"/>
              <w:left w:val="nil"/>
              <w:bottom w:val="nil"/>
              <w:right w:val="nil"/>
            </w:tcBorders>
            <w:tcMar>
              <w:top w:w="0" w:type="dxa"/>
              <w:left w:w="100" w:type="dxa"/>
              <w:bottom w:w="0" w:type="dxa"/>
              <w:right w:w="100" w:type="dxa"/>
            </w:tcMar>
          </w:tcPr>
          <w:p w14:paraId="6022189C" w14:textId="77777777" w:rsidR="005448E1" w:rsidRDefault="00000000">
            <w:pPr>
              <w:spacing w:after="200"/>
              <w:rPr>
                <w:rFonts w:ascii="Cambria" w:eastAsia="Cambria" w:hAnsi="Cambria" w:cs="Cambria"/>
              </w:rPr>
            </w:pPr>
            <w:r>
              <w:rPr>
                <w:rFonts w:ascii="Cambria" w:eastAsia="Cambria" w:hAnsi="Cambria" w:cs="Cambria"/>
              </w:rPr>
              <w:t>3</w:t>
            </w:r>
          </w:p>
        </w:tc>
        <w:tc>
          <w:tcPr>
            <w:tcW w:w="1805" w:type="dxa"/>
            <w:tcBorders>
              <w:top w:val="nil"/>
              <w:left w:val="nil"/>
              <w:bottom w:val="nil"/>
              <w:right w:val="nil"/>
            </w:tcBorders>
            <w:tcMar>
              <w:top w:w="0" w:type="dxa"/>
              <w:left w:w="100" w:type="dxa"/>
              <w:bottom w:w="0" w:type="dxa"/>
              <w:right w:w="100" w:type="dxa"/>
            </w:tcMar>
          </w:tcPr>
          <w:p w14:paraId="1717046C" w14:textId="77777777" w:rsidR="005448E1" w:rsidRDefault="00000000">
            <w:pPr>
              <w:spacing w:after="200"/>
              <w:rPr>
                <w:rFonts w:ascii="Cambria" w:eastAsia="Cambria" w:hAnsi="Cambria" w:cs="Cambria"/>
              </w:rPr>
            </w:pPr>
            <w:r>
              <w:rPr>
                <w:rFonts w:ascii="Cambria" w:eastAsia="Cambria" w:hAnsi="Cambria" w:cs="Cambria"/>
              </w:rPr>
              <w:t>4</w:t>
            </w:r>
          </w:p>
        </w:tc>
        <w:tc>
          <w:tcPr>
            <w:tcW w:w="1805" w:type="dxa"/>
            <w:tcBorders>
              <w:top w:val="nil"/>
              <w:left w:val="nil"/>
              <w:bottom w:val="nil"/>
              <w:right w:val="nil"/>
            </w:tcBorders>
            <w:tcMar>
              <w:top w:w="0" w:type="dxa"/>
              <w:left w:w="100" w:type="dxa"/>
              <w:bottom w:w="0" w:type="dxa"/>
              <w:right w:w="100" w:type="dxa"/>
            </w:tcMar>
          </w:tcPr>
          <w:p w14:paraId="69115E5A" w14:textId="77777777" w:rsidR="005448E1" w:rsidRDefault="00000000">
            <w:pPr>
              <w:spacing w:after="200"/>
              <w:rPr>
                <w:rFonts w:ascii="Cambria" w:eastAsia="Cambria" w:hAnsi="Cambria" w:cs="Cambria"/>
              </w:rPr>
            </w:pPr>
            <w:r>
              <w:rPr>
                <w:rFonts w:ascii="Cambria" w:eastAsia="Cambria" w:hAnsi="Cambria" w:cs="Cambria"/>
              </w:rPr>
              <w:t>5</w:t>
            </w:r>
          </w:p>
        </w:tc>
      </w:tr>
    </w:tbl>
    <w:p w14:paraId="514E309F" w14:textId="77777777" w:rsidR="005448E1" w:rsidRDefault="00000000">
      <w:pPr>
        <w:spacing w:after="200"/>
        <w:rPr>
          <w:rFonts w:ascii="Cambria" w:eastAsia="Cambria" w:hAnsi="Cambria" w:cs="Cambria"/>
        </w:rPr>
      </w:pPr>
      <w:r>
        <w:rPr>
          <w:rFonts w:ascii="Cambria" w:eastAsia="Cambria" w:hAnsi="Cambria" w:cs="Cambria"/>
        </w:rPr>
        <w:t xml:space="preserve"> </w:t>
      </w:r>
    </w:p>
    <w:p w14:paraId="3FAC11D6" w14:textId="77777777" w:rsidR="005448E1" w:rsidRDefault="00000000">
      <w:pPr>
        <w:spacing w:after="200"/>
        <w:rPr>
          <w:rFonts w:ascii="Cambria" w:eastAsia="Cambria" w:hAnsi="Cambria" w:cs="Cambria"/>
        </w:rPr>
      </w:pPr>
      <w:r>
        <w:rPr>
          <w:rFonts w:ascii="Cambria" w:eastAsia="Cambria" w:hAnsi="Cambria" w:cs="Cambria"/>
        </w:rPr>
        <w:t>3. Sensación de oportunidad y acceso a consulta por efectos adversos</w:t>
      </w: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05"/>
        <w:gridCol w:w="1805"/>
        <w:gridCol w:w="1805"/>
        <w:gridCol w:w="1805"/>
        <w:gridCol w:w="1805"/>
      </w:tblGrid>
      <w:tr w:rsidR="005448E1" w14:paraId="58F73409" w14:textId="77777777">
        <w:trPr>
          <w:trHeight w:val="450"/>
        </w:trPr>
        <w:tc>
          <w:tcPr>
            <w:tcW w:w="1805" w:type="dxa"/>
            <w:tcBorders>
              <w:top w:val="nil"/>
              <w:left w:val="nil"/>
              <w:bottom w:val="nil"/>
              <w:right w:val="nil"/>
            </w:tcBorders>
            <w:tcMar>
              <w:top w:w="0" w:type="dxa"/>
              <w:left w:w="100" w:type="dxa"/>
              <w:bottom w:w="0" w:type="dxa"/>
              <w:right w:w="100" w:type="dxa"/>
            </w:tcMar>
          </w:tcPr>
          <w:p w14:paraId="473522EC" w14:textId="77777777" w:rsidR="005448E1" w:rsidRDefault="00000000">
            <w:pPr>
              <w:spacing w:after="200"/>
              <w:rPr>
                <w:rFonts w:ascii="Cambria" w:eastAsia="Cambria" w:hAnsi="Cambria" w:cs="Cambria"/>
              </w:rPr>
            </w:pPr>
            <w:r>
              <w:rPr>
                <w:rFonts w:ascii="Cambria" w:eastAsia="Cambria" w:hAnsi="Cambria" w:cs="Cambria"/>
              </w:rPr>
              <w:t>1</w:t>
            </w:r>
          </w:p>
        </w:tc>
        <w:tc>
          <w:tcPr>
            <w:tcW w:w="1805" w:type="dxa"/>
            <w:tcBorders>
              <w:top w:val="nil"/>
              <w:left w:val="nil"/>
              <w:bottom w:val="nil"/>
              <w:right w:val="nil"/>
            </w:tcBorders>
            <w:tcMar>
              <w:top w:w="0" w:type="dxa"/>
              <w:left w:w="100" w:type="dxa"/>
              <w:bottom w:w="0" w:type="dxa"/>
              <w:right w:w="100" w:type="dxa"/>
            </w:tcMar>
          </w:tcPr>
          <w:p w14:paraId="5C898BF4" w14:textId="77777777" w:rsidR="005448E1" w:rsidRDefault="00000000">
            <w:pPr>
              <w:spacing w:after="200"/>
              <w:rPr>
                <w:rFonts w:ascii="Cambria" w:eastAsia="Cambria" w:hAnsi="Cambria" w:cs="Cambria"/>
              </w:rPr>
            </w:pPr>
            <w:r>
              <w:rPr>
                <w:rFonts w:ascii="Cambria" w:eastAsia="Cambria" w:hAnsi="Cambria" w:cs="Cambria"/>
              </w:rPr>
              <w:t>2</w:t>
            </w:r>
          </w:p>
        </w:tc>
        <w:tc>
          <w:tcPr>
            <w:tcW w:w="1805" w:type="dxa"/>
            <w:tcBorders>
              <w:top w:val="nil"/>
              <w:left w:val="nil"/>
              <w:bottom w:val="nil"/>
              <w:right w:val="nil"/>
            </w:tcBorders>
            <w:tcMar>
              <w:top w:w="0" w:type="dxa"/>
              <w:left w:w="100" w:type="dxa"/>
              <w:bottom w:w="0" w:type="dxa"/>
              <w:right w:w="100" w:type="dxa"/>
            </w:tcMar>
          </w:tcPr>
          <w:p w14:paraId="23CAEFC7" w14:textId="77777777" w:rsidR="005448E1" w:rsidRDefault="00000000">
            <w:pPr>
              <w:spacing w:after="200"/>
              <w:rPr>
                <w:rFonts w:ascii="Cambria" w:eastAsia="Cambria" w:hAnsi="Cambria" w:cs="Cambria"/>
              </w:rPr>
            </w:pPr>
            <w:r>
              <w:rPr>
                <w:rFonts w:ascii="Cambria" w:eastAsia="Cambria" w:hAnsi="Cambria" w:cs="Cambria"/>
              </w:rPr>
              <w:t>3</w:t>
            </w:r>
          </w:p>
        </w:tc>
        <w:tc>
          <w:tcPr>
            <w:tcW w:w="1805" w:type="dxa"/>
            <w:tcBorders>
              <w:top w:val="nil"/>
              <w:left w:val="nil"/>
              <w:bottom w:val="nil"/>
              <w:right w:val="nil"/>
            </w:tcBorders>
            <w:tcMar>
              <w:top w:w="0" w:type="dxa"/>
              <w:left w:w="100" w:type="dxa"/>
              <w:bottom w:w="0" w:type="dxa"/>
              <w:right w:w="100" w:type="dxa"/>
            </w:tcMar>
          </w:tcPr>
          <w:p w14:paraId="3B5D5A7E" w14:textId="77777777" w:rsidR="005448E1" w:rsidRDefault="00000000">
            <w:pPr>
              <w:spacing w:after="200"/>
              <w:rPr>
                <w:rFonts w:ascii="Cambria" w:eastAsia="Cambria" w:hAnsi="Cambria" w:cs="Cambria"/>
              </w:rPr>
            </w:pPr>
            <w:r>
              <w:rPr>
                <w:rFonts w:ascii="Cambria" w:eastAsia="Cambria" w:hAnsi="Cambria" w:cs="Cambria"/>
              </w:rPr>
              <w:t>4</w:t>
            </w:r>
          </w:p>
        </w:tc>
        <w:tc>
          <w:tcPr>
            <w:tcW w:w="1805" w:type="dxa"/>
            <w:tcBorders>
              <w:top w:val="nil"/>
              <w:left w:val="nil"/>
              <w:bottom w:val="nil"/>
              <w:right w:val="nil"/>
            </w:tcBorders>
            <w:tcMar>
              <w:top w:w="0" w:type="dxa"/>
              <w:left w:w="100" w:type="dxa"/>
              <w:bottom w:w="0" w:type="dxa"/>
              <w:right w:w="100" w:type="dxa"/>
            </w:tcMar>
          </w:tcPr>
          <w:p w14:paraId="07656C44" w14:textId="77777777" w:rsidR="005448E1" w:rsidRDefault="00000000">
            <w:pPr>
              <w:spacing w:after="200"/>
              <w:rPr>
                <w:rFonts w:ascii="Cambria" w:eastAsia="Cambria" w:hAnsi="Cambria" w:cs="Cambria"/>
              </w:rPr>
            </w:pPr>
            <w:r>
              <w:rPr>
                <w:rFonts w:ascii="Cambria" w:eastAsia="Cambria" w:hAnsi="Cambria" w:cs="Cambria"/>
              </w:rPr>
              <w:t>5</w:t>
            </w:r>
          </w:p>
        </w:tc>
      </w:tr>
    </w:tbl>
    <w:p w14:paraId="1E94141D" w14:textId="77777777" w:rsidR="005448E1" w:rsidRDefault="00000000">
      <w:pPr>
        <w:spacing w:after="200"/>
        <w:rPr>
          <w:rFonts w:ascii="Cambria" w:eastAsia="Cambria" w:hAnsi="Cambria" w:cs="Cambria"/>
        </w:rPr>
      </w:pPr>
      <w:r>
        <w:rPr>
          <w:rFonts w:ascii="Cambria" w:eastAsia="Cambria" w:hAnsi="Cambria" w:cs="Cambria"/>
        </w:rPr>
        <w:t xml:space="preserve"> </w:t>
      </w:r>
    </w:p>
    <w:p w14:paraId="31D46405" w14:textId="77777777" w:rsidR="005448E1" w:rsidRDefault="00000000">
      <w:pPr>
        <w:spacing w:after="200"/>
        <w:rPr>
          <w:rFonts w:ascii="Cambria" w:eastAsia="Cambria" w:hAnsi="Cambria" w:cs="Cambria"/>
        </w:rPr>
      </w:pPr>
      <w:r>
        <w:rPr>
          <w:rFonts w:ascii="Cambria" w:eastAsia="Cambria" w:hAnsi="Cambria" w:cs="Cambria"/>
        </w:rPr>
        <w:t>4. ¿Qué mejoraría del proceso de instilación? (respuesta abierta)</w:t>
      </w:r>
    </w:p>
    <w:p w14:paraId="3C0DD23B" w14:textId="77777777" w:rsidR="005448E1" w:rsidRDefault="00000000">
      <w:pPr>
        <w:spacing w:after="200"/>
        <w:rPr>
          <w:rFonts w:ascii="Cambria" w:eastAsia="Cambria" w:hAnsi="Cambria" w:cs="Cambria"/>
        </w:rPr>
      </w:pPr>
      <w:r>
        <w:rPr>
          <w:rFonts w:ascii="Cambria" w:eastAsia="Cambria" w:hAnsi="Cambria" w:cs="Cambria"/>
        </w:rPr>
        <w:t>___________________________________________________________________________</w:t>
      </w:r>
    </w:p>
    <w:p w14:paraId="79470708" w14:textId="77777777" w:rsidR="005448E1" w:rsidRDefault="00000000">
      <w:pPr>
        <w:spacing w:after="200"/>
        <w:rPr>
          <w:rFonts w:ascii="Cambria" w:eastAsia="Cambria" w:hAnsi="Cambria" w:cs="Cambria"/>
        </w:rPr>
      </w:pPr>
      <w:r>
        <w:rPr>
          <w:rFonts w:ascii="Cambria" w:eastAsia="Cambria" w:hAnsi="Cambria" w:cs="Cambria"/>
        </w:rPr>
        <w:t>___________________________________________________________________________</w:t>
      </w:r>
    </w:p>
    <w:p w14:paraId="34E5C9CC" w14:textId="77777777" w:rsidR="005448E1" w:rsidRDefault="00000000">
      <w:pPr>
        <w:spacing w:after="200"/>
        <w:rPr>
          <w:rFonts w:ascii="Cambria" w:eastAsia="Cambria" w:hAnsi="Cambria" w:cs="Cambria"/>
        </w:rPr>
      </w:pPr>
      <w:r>
        <w:rPr>
          <w:rFonts w:ascii="Cambria" w:eastAsia="Cambria" w:hAnsi="Cambria" w:cs="Cambria"/>
        </w:rPr>
        <w:t>___________________________________________________________________________</w:t>
      </w:r>
    </w:p>
    <w:p w14:paraId="6E7B75BE" w14:textId="77777777" w:rsidR="005448E1" w:rsidRDefault="005448E1">
      <w:pPr>
        <w:spacing w:line="360" w:lineRule="auto"/>
      </w:pPr>
    </w:p>
    <w:p w14:paraId="1160E3AD" w14:textId="77777777" w:rsidR="005448E1" w:rsidRDefault="005448E1">
      <w:pPr>
        <w:spacing w:line="360" w:lineRule="auto"/>
      </w:pPr>
    </w:p>
    <w:p w14:paraId="4D0B1BAB" w14:textId="77777777" w:rsidR="005448E1" w:rsidRDefault="005448E1">
      <w:pPr>
        <w:spacing w:line="360" w:lineRule="auto"/>
      </w:pPr>
    </w:p>
    <w:sectPr w:rsidR="005448E1">
      <w:head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CD9D5" w14:textId="77777777" w:rsidR="00397F15" w:rsidRDefault="00397F15">
      <w:pPr>
        <w:spacing w:line="240" w:lineRule="auto"/>
      </w:pPr>
      <w:r>
        <w:separator/>
      </w:r>
    </w:p>
  </w:endnote>
  <w:endnote w:type="continuationSeparator" w:id="0">
    <w:p w14:paraId="0304811C" w14:textId="77777777" w:rsidR="00397F15" w:rsidRDefault="00397F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202B09C-E798-8C47-B181-759A48D61239}"/>
    <w:embedBold r:id="rId2" w:fontKey="{268145BE-FF19-8840-9FBA-46BA1D7BB609}"/>
    <w:embedItalic r:id="rId3" w:fontKey="{8AD9AAB3-FCFD-B244-8B67-1D91DD76B297}"/>
  </w:font>
  <w:font w:name="Courier New">
    <w:panose1 w:val="02070309020205020404"/>
    <w:charset w:val="00"/>
    <w:family w:val="modern"/>
    <w:pitch w:val="fixed"/>
    <w:sig w:usb0="E0002AFF" w:usb1="C0007843" w:usb2="00000009" w:usb3="00000000" w:csb0="000001FF" w:csb1="00000000"/>
    <w:embedRegular r:id="rId4" w:fontKey="{6A9ADB25-4D9B-E24B-A00D-8C253440540A}"/>
  </w:font>
  <w:font w:name="Noto Sans Symbols">
    <w:charset w:val="00"/>
    <w:family w:val="auto"/>
    <w:pitch w:val="default"/>
    <w:embedRegular r:id="rId5" w:fontKey="{3E8AC00B-A862-C245-B100-881318FDB32C}"/>
  </w:font>
  <w:font w:name="Times New Roman">
    <w:panose1 w:val="02020603050405020304"/>
    <w:charset w:val="00"/>
    <w:family w:val="roman"/>
    <w:pitch w:val="variable"/>
    <w:sig w:usb0="E0002EFF" w:usb1="C000785B" w:usb2="00000009" w:usb3="00000000" w:csb0="000001FF" w:csb1="00000000"/>
    <w:embedRegular r:id="rId6" w:fontKey="{BCB3FAA4-FAA5-DE42-B245-7026BC519064}"/>
  </w:font>
  <w:font w:name="Calibri">
    <w:panose1 w:val="020F0502020204030204"/>
    <w:charset w:val="00"/>
    <w:family w:val="swiss"/>
    <w:pitch w:val="variable"/>
    <w:sig w:usb0="E0002AFF" w:usb1="C000247B" w:usb2="00000009" w:usb3="00000000" w:csb0="000001FF" w:csb1="00000000"/>
    <w:embedRegular r:id="rId7" w:fontKey="{6779AAA5-7A18-934D-8BD7-B6AC6527C97A}"/>
    <w:embedBold r:id="rId8" w:fontKey="{D26D30A3-2B2E-6F44-B75A-11CE18EA8F16}"/>
  </w:font>
  <w:font w:name="Cambria">
    <w:panose1 w:val="02040503050406030204"/>
    <w:charset w:val="00"/>
    <w:family w:val="roman"/>
    <w:pitch w:val="variable"/>
    <w:sig w:usb0="E00002FF" w:usb1="400004FF" w:usb2="00000000" w:usb3="00000000" w:csb0="0000019F" w:csb1="00000000"/>
    <w:embedRegular r:id="rId9" w:fontKey="{A109063A-AAC3-4349-A895-2B761E78ED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09D495" w14:textId="77777777" w:rsidR="00397F15" w:rsidRDefault="00397F15">
      <w:pPr>
        <w:spacing w:line="240" w:lineRule="auto"/>
      </w:pPr>
      <w:r>
        <w:separator/>
      </w:r>
    </w:p>
  </w:footnote>
  <w:footnote w:type="continuationSeparator" w:id="0">
    <w:p w14:paraId="3F95AECA" w14:textId="77777777" w:rsidR="00397F15" w:rsidRDefault="00397F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43C3E" w14:textId="77777777" w:rsidR="005448E1" w:rsidRDefault="005448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257C39"/>
    <w:multiLevelType w:val="multilevel"/>
    <w:tmpl w:val="BF08316C"/>
    <w:lvl w:ilvl="0">
      <w:start w:val="6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0D47DA"/>
    <w:multiLevelType w:val="multilevel"/>
    <w:tmpl w:val="6B88B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7460A9B"/>
    <w:multiLevelType w:val="multilevel"/>
    <w:tmpl w:val="1A406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F56A23"/>
    <w:multiLevelType w:val="multilevel"/>
    <w:tmpl w:val="399C9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5104305">
    <w:abstractNumId w:val="1"/>
  </w:num>
  <w:num w:numId="2" w16cid:durableId="627585628">
    <w:abstractNumId w:val="2"/>
  </w:num>
  <w:num w:numId="3" w16cid:durableId="2052727196">
    <w:abstractNumId w:val="0"/>
  </w:num>
  <w:num w:numId="4" w16cid:durableId="818308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8E1"/>
    <w:rsid w:val="00014F6E"/>
    <w:rsid w:val="00397F15"/>
    <w:rsid w:val="005448E1"/>
    <w:rsid w:val="0076732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A2DBF"/>
  <w15:docId w15:val="{2AC28F91-9DA7-014F-8EBC-688CD1149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rrafodelista">
    <w:name w:val="List Paragraph"/>
    <w:basedOn w:val="Normal"/>
    <w:uiPriority w:val="34"/>
    <w:qFormat/>
    <w:rsid w:val="007F5C02"/>
    <w:pPr>
      <w:ind w:left="720"/>
      <w:contextualSpacing/>
    </w:pPr>
    <w:rPr>
      <w:lang w:val="es-419" w:eastAsia="es-ES_tradnl"/>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S0022-5347(06)002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kfLMUtAIad2o8LLvAzr6wNy8Q==">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4181</Words>
  <Characters>22998</Characters>
  <Application>Microsoft Office Word</Application>
  <DocSecurity>0</DocSecurity>
  <Lines>191</Lines>
  <Paragraphs>54</Paragraphs>
  <ScaleCrop>false</ScaleCrop>
  <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Jovan Araya G.</cp:lastModifiedBy>
  <cp:revision>2</cp:revision>
  <dcterms:created xsi:type="dcterms:W3CDTF">2025-09-08T01:08:00Z</dcterms:created>
  <dcterms:modified xsi:type="dcterms:W3CDTF">2025-09-08T01:08:00Z</dcterms:modified>
</cp:coreProperties>
</file>