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TRASPLANTE RENAL ROBÓTICO DE DONANTE VIVO: EXPERIENCIA INICIAL EN UN CENTRO ESPAÑOL Y DESAFÍOS PARA SU IMPLEMENTACIÓN EN CHILE</w:t>
      </w:r>
    </w:p>
    <w:p w:rsidR="00000000" w:rsidDel="00000000" w:rsidP="00000000" w:rsidRDefault="00000000" w:rsidRPr="00000000" w14:paraId="00000002">
      <w:pPr>
        <w:ind w:left="0" w:firstLine="0"/>
        <w:jc w:val="both"/>
        <w:rPr>
          <w:b w:val="1"/>
        </w:rPr>
      </w:pPr>
      <w:r w:rsidDel="00000000" w:rsidR="00000000" w:rsidRPr="00000000">
        <w:rPr>
          <w:rtl w:val="0"/>
        </w:rPr>
      </w:r>
    </w:p>
    <w:p w:rsidR="00000000" w:rsidDel="00000000" w:rsidP="00000000" w:rsidRDefault="00000000" w:rsidRPr="00000000" w14:paraId="00000003">
      <w:pPr>
        <w:ind w:left="0" w:firstLine="0"/>
        <w:jc w:val="both"/>
        <w:rPr>
          <w:b w:val="1"/>
        </w:rPr>
      </w:pPr>
      <w:r w:rsidDel="00000000" w:rsidR="00000000" w:rsidRPr="00000000">
        <w:rPr>
          <w:b w:val="1"/>
          <w:rtl w:val="0"/>
        </w:rPr>
        <w:t xml:space="preserve">Introducción</w:t>
      </w:r>
    </w:p>
    <w:p w:rsidR="00000000" w:rsidDel="00000000" w:rsidP="00000000" w:rsidRDefault="00000000" w:rsidRPr="00000000" w14:paraId="00000004">
      <w:pPr>
        <w:jc w:val="both"/>
        <w:rPr/>
      </w:pPr>
      <w:r w:rsidDel="00000000" w:rsidR="00000000" w:rsidRPr="00000000">
        <w:rPr>
          <w:rtl w:val="0"/>
        </w:rPr>
        <w:t xml:space="preserve">Los pacientes con enfermedad renal terminal tienen un riesgo sustancialmente mayor de morir que la población general. </w:t>
      </w:r>
      <w:hyperlink r:id="rId6">
        <w:r w:rsidDel="00000000" w:rsidR="00000000" w:rsidRPr="00000000">
          <w:rPr>
            <w:b w:val="0"/>
            <w:color w:val="000000"/>
            <w:u w:val="none"/>
            <w:rtl w:val="0"/>
          </w:rPr>
          <w:t xml:space="preserve">(1)</w:t>
        </w:r>
      </w:hyperlink>
      <w:r w:rsidDel="00000000" w:rsidR="00000000" w:rsidRPr="00000000">
        <w:rPr>
          <w:rtl w:val="0"/>
        </w:rPr>
        <w:br w:type="textWrapping"/>
        <w:t xml:space="preserve">En este grupo de pacientes el mejor tratamiento posible es el trasplante renal, ya que mejora la calidad de vida y la expectativa es más del doble comparada con la diálisis.(2-5)</w:t>
      </w:r>
    </w:p>
    <w:p w:rsidR="00000000" w:rsidDel="00000000" w:rsidP="00000000" w:rsidRDefault="00000000" w:rsidRPr="00000000" w14:paraId="00000005">
      <w:pPr>
        <w:jc w:val="both"/>
        <w:rPr/>
      </w:pP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El abordaje abierto se considera el estándar de oro desde el primer trasplante renal exitoso realizado en 1954 por el Dr. Murray, realizando una técnica quirúrgica que no ha tenido mayores cambios en los últimos 50 años. (6-8)</w:t>
      </w:r>
    </w:p>
    <w:p w:rsidR="00000000" w:rsidDel="00000000" w:rsidP="00000000" w:rsidRDefault="00000000" w:rsidRPr="00000000" w14:paraId="00000007">
      <w:pPr>
        <w:jc w:val="both"/>
        <w:rPr/>
      </w:pP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t xml:space="preserve">En las últimas dos décadas, la cirugía mínimamente invasiva ha experimentado un desarrollo sostenido, impulsada principalmente por su menor  morbilidad en comparación con la cirugía abierta.  Diferentes estudios han demostrado consistentemente una reducción del  sangrado intraoperatorio,  de la estadía hospitalaria, de las complicaciones perioperatorias y del requerimiento de analgesia, así como mejores resultados oncológicos, a expensas de un mayor tiempo operatorio en múltiples procedimientos urológicos. (6,9)</w:t>
      </w:r>
    </w:p>
    <w:p w:rsidR="00000000" w:rsidDel="00000000" w:rsidP="00000000" w:rsidRDefault="00000000" w:rsidRPr="00000000" w14:paraId="00000009">
      <w:pPr>
        <w:jc w:val="both"/>
        <w:rPr/>
      </w:pPr>
      <w:r w:rsidDel="00000000" w:rsidR="00000000" w:rsidRPr="00000000">
        <w:rPr>
          <w:rtl w:val="0"/>
        </w:rPr>
        <w:t xml:space="preserve"> </w:t>
      </w:r>
    </w:p>
    <w:p w:rsidR="00000000" w:rsidDel="00000000" w:rsidP="00000000" w:rsidRDefault="00000000" w:rsidRPr="00000000" w14:paraId="0000000A">
      <w:pPr>
        <w:jc w:val="both"/>
        <w:rPr/>
      </w:pPr>
      <w:r w:rsidDel="00000000" w:rsidR="00000000" w:rsidRPr="00000000">
        <w:rPr>
          <w:rtl w:val="0"/>
        </w:rPr>
        <w:t xml:space="preserve">No obstante, la cirugía laparoscópica sigue siendo técnicamente desafiante para muchos cirujanos. En este escenario la cirugía robótica se ha posicionado como una alternativa  capaz de superar varias de sus limitaciones gracias a innovaciones como la visión tridimensional, la supresión del temblor, la tecnología EndoWrist® entre otras que mejoran la velocidad, ergonomía y precisión quirúrgica.</w:t>
      </w:r>
      <w:hyperlink r:id="rId7">
        <w:r w:rsidDel="00000000" w:rsidR="00000000" w:rsidRPr="00000000">
          <w:rPr>
            <w:b w:val="0"/>
            <w:color w:val="000000"/>
            <w:u w:val="none"/>
            <w:rtl w:val="0"/>
          </w:rPr>
          <w:t xml:space="preserve">(6)</w:t>
        </w:r>
      </w:hyperlink>
      <w:r w:rsidDel="00000000" w:rsidR="00000000" w:rsidRPr="00000000">
        <w:rPr>
          <w:rtl w:val="0"/>
        </w:rPr>
        <w:t xml:space="preserve">. Estas ventajas han permitido la adopción de la cirugía robótica en múltiples especialidades quirúrgicas utilizándose tanto en patología oncológica como en afecciones benignas. (8-12)</w:t>
      </w:r>
    </w:p>
    <w:p w:rsidR="00000000" w:rsidDel="00000000" w:rsidP="00000000" w:rsidRDefault="00000000" w:rsidRPr="00000000" w14:paraId="0000000B">
      <w:pPr>
        <w:jc w:val="both"/>
        <w:rPr/>
      </w:pPr>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t xml:space="preserve">En este contexto, la cirugía robótica podría tener el potencial de brindar beneficios adicionales en el trasplante renal, un campo donde optimizar los resultados perioperatorios cobra especial relevancia, considerándose que los receptores suelen ser frágiles e inmunocomprometidos </w:t>
      </w:r>
      <w:hyperlink r:id="rId8">
        <w:r w:rsidDel="00000000" w:rsidR="00000000" w:rsidRPr="00000000">
          <w:rPr>
            <w:b w:val="0"/>
            <w:color w:val="000000"/>
            <w:u w:val="none"/>
            <w:rtl w:val="0"/>
          </w:rPr>
          <w:t xml:space="preserve">(6</w:t>
        </w:r>
      </w:hyperlink>
      <w:r w:rsidDel="00000000" w:rsidR="00000000" w:rsidRPr="00000000">
        <w:rPr>
          <w:rtl w:val="0"/>
        </w:rPr>
        <w:t xml:space="preserve">,8)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Los intentos iniciales de aplicar técnicas mínimamente invasivas en el  trasplante renal tienen sus inicios en el primer procedimiento realizado con laparoscopía en el año 2010 </w:t>
      </w:r>
      <w:hyperlink r:id="rId9">
        <w:r w:rsidDel="00000000" w:rsidR="00000000" w:rsidRPr="00000000">
          <w:rPr>
            <w:b w:val="0"/>
            <w:color w:val="000000"/>
            <w:u w:val="none"/>
            <w:rtl w:val="0"/>
          </w:rPr>
          <w:t xml:space="preserve">(13)</w:t>
        </w:r>
      </w:hyperlink>
      <w:r w:rsidDel="00000000" w:rsidR="00000000" w:rsidRPr="00000000">
        <w:rPr>
          <w:rtl w:val="0"/>
        </w:rPr>
        <w:t xml:space="preserve">, sin embargo, pese a reportarse buenos resultados quirúrgicos y funcionales, la difícil curva de aprendizaje y los elevados tiempos quirúrgicos y de recalentamiento evitaron su consolidación como técnica estándar. </w:t>
      </w:r>
      <w:hyperlink r:id="rId10">
        <w:r w:rsidDel="00000000" w:rsidR="00000000" w:rsidRPr="00000000">
          <w:rPr>
            <w:b w:val="0"/>
            <w:color w:val="000000"/>
            <w:u w:val="none"/>
            <w:rtl w:val="0"/>
          </w:rPr>
          <w:t xml:space="preserve">(6)</w:t>
        </w:r>
      </w:hyperlink>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 </w:t>
      </w:r>
    </w:p>
    <w:p w:rsidR="00000000" w:rsidDel="00000000" w:rsidP="00000000" w:rsidRDefault="00000000" w:rsidRPr="00000000" w14:paraId="00000010">
      <w:pPr>
        <w:jc w:val="both"/>
        <w:rPr/>
      </w:pPr>
      <w:r w:rsidDel="00000000" w:rsidR="00000000" w:rsidRPr="00000000">
        <w:rPr>
          <w:rtl w:val="0"/>
        </w:rPr>
        <w:t xml:space="preserve">Varios años antes, a principios de los años 2000 se empezó paulatinamente con la implementación del trasplante renal asistido por robot  (RAKT, por sus siglas en inglés) </w:t>
      </w:r>
      <w:hyperlink r:id="rId11">
        <w:r w:rsidDel="00000000" w:rsidR="00000000" w:rsidRPr="00000000">
          <w:rPr>
            <w:b w:val="0"/>
            <w:color w:val="000000"/>
            <w:u w:val="none"/>
            <w:rtl w:val="0"/>
          </w:rPr>
          <w:t xml:space="preserve">(6)</w:t>
        </w:r>
      </w:hyperlink>
      <w:r w:rsidDel="00000000" w:rsidR="00000000" w:rsidRPr="00000000">
        <w:rPr>
          <w:rtl w:val="0"/>
        </w:rPr>
        <w:t xml:space="preserve">. En 2002, </w:t>
      </w:r>
      <w:r w:rsidDel="00000000" w:rsidR="00000000" w:rsidRPr="00000000">
        <w:rPr>
          <w:rtl w:val="0"/>
        </w:rPr>
        <w:t xml:space="preserve">Hoznek</w:t>
      </w:r>
      <w:r w:rsidDel="00000000" w:rsidR="00000000" w:rsidRPr="00000000">
        <w:rPr>
          <w:rtl w:val="0"/>
        </w:rPr>
        <w:t xml:space="preserve"> y colaboradores reportaron un trasplante renal en el cual la anastomosis vascular se realizó con asistencia robótica, a través de una incisión abierta.</w:t>
      </w:r>
      <w:hyperlink r:id="rId12">
        <w:r w:rsidDel="00000000" w:rsidR="00000000" w:rsidRPr="00000000">
          <w:rPr>
            <w:b w:val="0"/>
            <w:color w:val="000000"/>
            <w:u w:val="none"/>
            <w:rtl w:val="0"/>
          </w:rPr>
          <w:t xml:space="preserve">(14)</w:t>
        </w:r>
      </w:hyperlink>
      <w:r w:rsidDel="00000000" w:rsidR="00000000" w:rsidRPr="00000000">
        <w:rPr>
          <w:rtl w:val="0"/>
        </w:rPr>
        <w:t xml:space="preserve">. Posteriormente en 2010 se llevó a cabo el primer RAKT completamente robótico por Giulianotti et al. </w:t>
      </w:r>
      <w:hyperlink r:id="rId13">
        <w:r w:rsidDel="00000000" w:rsidR="00000000" w:rsidRPr="00000000">
          <w:rPr>
            <w:b w:val="0"/>
            <w:color w:val="000000"/>
            <w:u w:val="none"/>
            <w:rtl w:val="0"/>
          </w:rPr>
          <w:t xml:space="preserve">(15)</w:t>
        </w:r>
      </w:hyperlink>
      <w:r w:rsidDel="00000000" w:rsidR="00000000" w:rsidRPr="00000000">
        <w:rPr>
          <w:rtl w:val="0"/>
        </w:rPr>
        <w:t xml:space="preserve"> </w:t>
      </w:r>
      <w:r w:rsidDel="00000000" w:rsidR="00000000" w:rsidRPr="00000000">
        <w:rPr>
          <w:rtl w:val="0"/>
        </w:rPr>
        <w:t xml:space="preserve">Sin embargo, no fue hasta el 2014 que tras realizar 50 casos consecutivos de RAKT se logró estandarizar la cirugía, siguiendo el marco metodológico para la innovación quirúrgica IDEAL, con la técnica descrita por el Dr. Menon y el grupo de colaboración Vattikuti-Medanta de India y Estados Unidos. </w:t>
      </w:r>
      <w:hyperlink r:id="rId14">
        <w:r w:rsidDel="00000000" w:rsidR="00000000" w:rsidRPr="00000000">
          <w:rPr>
            <w:b w:val="0"/>
            <w:color w:val="000000"/>
            <w:u w:val="none"/>
            <w:rtl w:val="0"/>
          </w:rPr>
          <w:t xml:space="preserve">(16)</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 </w:t>
      </w:r>
    </w:p>
    <w:p w:rsidR="00000000" w:rsidDel="00000000" w:rsidP="00000000" w:rsidRDefault="00000000" w:rsidRPr="00000000" w14:paraId="00000012">
      <w:pPr>
        <w:jc w:val="both"/>
        <w:rPr/>
      </w:pPr>
      <w:r w:rsidDel="00000000" w:rsidR="00000000" w:rsidRPr="00000000">
        <w:rPr>
          <w:rtl w:val="0"/>
        </w:rPr>
        <w:t xml:space="preserve">Este hecho hizo que rápidamente se propagara el interés por la técnica utilizándose principalmente en trasplante de donante vivo. En Europa el primer RAKT de donante vivo se hizo en Pisa, Italia en 2011 por el Dr. Boggi, aunque con la anastomosis ureteral abierta </w:t>
      </w:r>
      <w:hyperlink r:id="rId15">
        <w:r w:rsidDel="00000000" w:rsidR="00000000" w:rsidRPr="00000000">
          <w:rPr>
            <w:b w:val="0"/>
            <w:color w:val="000000"/>
            <w:u w:val="none"/>
            <w:rtl w:val="0"/>
          </w:rPr>
          <w:t xml:space="preserve">(17)</w:t>
        </w:r>
      </w:hyperlink>
      <w:r w:rsidDel="00000000" w:rsidR="00000000" w:rsidRPr="00000000">
        <w:rPr>
          <w:rtl w:val="0"/>
        </w:rPr>
        <w:t xml:space="preserve">. Se tuvo que esperar hasta el año 2015 para reportar el primer caso de RAKT totalmente robótico en el continente, publicado por el Dr. Doumerc de Toulouse, Francia </w:t>
      </w:r>
      <w:hyperlink r:id="rId16">
        <w:r w:rsidDel="00000000" w:rsidR="00000000" w:rsidRPr="00000000">
          <w:rPr>
            <w:b w:val="0"/>
            <w:color w:val="000000"/>
            <w:u w:val="none"/>
            <w:rtl w:val="0"/>
          </w:rPr>
          <w:t xml:space="preserve">(18)</w:t>
        </w:r>
      </w:hyperlink>
      <w:r w:rsidDel="00000000" w:rsidR="00000000" w:rsidRPr="00000000">
        <w:rPr>
          <w:rtl w:val="0"/>
        </w:rPr>
        <w:t xml:space="preserve">. Desde entonces Europa se ha consolidado como el epicentro de la evidencia sobre RAKT, donde se realiza en centros de referencia para trasplante renal. Esta evidencia se genera en gran parte gracias a la red colaborativa ERUS-RAKT, que ha generado registros prospectivos y publicaciones periódicas. Su primer reporte fue en 2018, presentando la serie más amplia hasta esa fecha, con 120 pacientes sometidos a RAKT entre 2015 y 2017.</w:t>
      </w:r>
      <w:hyperlink r:id="rId17">
        <w:r w:rsidDel="00000000" w:rsidR="00000000" w:rsidRPr="00000000">
          <w:rPr>
            <w:b w:val="0"/>
            <w:color w:val="000000"/>
            <w:u w:val="none"/>
            <w:rtl w:val="0"/>
          </w:rPr>
          <w:t xml:space="preserve">(19)</w:t>
        </w:r>
      </w:hyperlink>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 </w:t>
      </w:r>
    </w:p>
    <w:p w:rsidR="00000000" w:rsidDel="00000000" w:rsidP="00000000" w:rsidRDefault="00000000" w:rsidRPr="00000000" w14:paraId="00000014">
      <w:pPr>
        <w:jc w:val="both"/>
        <w:rPr/>
      </w:pP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t xml:space="preserve">La evidencia actual acumulada en los últimos años nos ha demostrado que el TRAR se ha podido implementar de forma segura y con buenos resultados quirúrgicos y funcionales a mediano-largo plazo,</w:t>
      </w:r>
      <w:r w:rsidDel="00000000" w:rsidR="00000000" w:rsidRPr="00000000">
        <w:rPr>
          <w:rtl w:val="0"/>
        </w:rPr>
        <w:t xml:space="preserve"> </w:t>
      </w:r>
      <w:r w:rsidDel="00000000" w:rsidR="00000000" w:rsidRPr="00000000">
        <w:rPr>
          <w:rtl w:val="0"/>
        </w:rPr>
        <w:t xml:space="preserve">convirtiéndose en</w:t>
      </w:r>
      <w:r w:rsidDel="00000000" w:rsidR="00000000" w:rsidRPr="00000000">
        <w:rPr>
          <w:rtl w:val="0"/>
        </w:rPr>
        <w:t xml:space="preserve"> una opción real a la cirugía abierta.(20,21)</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En España, la mayor cantidad de evidencia proviene de la reportada por cuatro centros que realizan RAKT (Fundació Puigvert, Barcelona; Hospital Clinic-IDIBAPS, Barcelona; Hospital Universitari de Bellvitge, Barcelona y el Hospital Universitario Puerta del Mar, Cádiz) </w:t>
      </w:r>
      <w:hyperlink r:id="rId18">
        <w:r w:rsidDel="00000000" w:rsidR="00000000" w:rsidRPr="00000000">
          <w:rPr>
            <w:b w:val="0"/>
            <w:color w:val="000000"/>
            <w:u w:val="none"/>
            <w:rtl w:val="0"/>
          </w:rPr>
          <w:t xml:space="preserve">(20)</w:t>
        </w:r>
      </w:hyperlink>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En el hospital Puerta del Mar de Cádiz, se implementó la cirugía robótica con el Sistema Quirúrgico da Vinci (Intuitive Surgical, Sunnyvale, CA, USA) modelo Xi en diciembre de 2019 y en julio de 2021 se realizó el primer RAKT y desde la fecha se ha establecido como la técnica estándar para el trasplante renal de donante vivo.  El objetivo de este trabajo es describir la implementación de este programa, sus resultados quirúrgicos y funcionales iniciales, además de servir como base para replicar un programa de este tipo en Chile poniendo foco en los desafíos que pudiera encontrarse un equipo quirúrgico que quiera embarcarse en esta técnica.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Materiales y Métodos</w:t>
      </w:r>
    </w:p>
    <w:p w:rsidR="00000000" w:rsidDel="00000000" w:rsidP="00000000" w:rsidRDefault="00000000" w:rsidRPr="00000000" w14:paraId="0000001C">
      <w:pPr>
        <w:jc w:val="both"/>
        <w:rPr/>
      </w:pPr>
      <w:r w:rsidDel="00000000" w:rsidR="00000000" w:rsidRPr="00000000">
        <w:rPr>
          <w:rtl w:val="0"/>
        </w:rPr>
        <w:t xml:space="preserve">Estudio observacional de una cohorte prospectiva entre julio de 2021 y mayo de 2025. </w:t>
      </w:r>
    </w:p>
    <w:p w:rsidR="00000000" w:rsidDel="00000000" w:rsidP="00000000" w:rsidRDefault="00000000" w:rsidRPr="00000000" w14:paraId="0000001D">
      <w:pPr>
        <w:jc w:val="both"/>
        <w:rPr/>
      </w:pPr>
      <w:r w:rsidDel="00000000" w:rsidR="00000000" w:rsidRPr="00000000">
        <w:rPr>
          <w:rtl w:val="0"/>
        </w:rPr>
        <w:t xml:space="preserve">Un TC de abdomen y pelvis con contraste se realiza a donante y receptor, para evaluar anatomía vascular y existencia de aterosclerosis severa de vasos ilíacos. </w:t>
      </w:r>
    </w:p>
    <w:p w:rsidR="00000000" w:rsidDel="00000000" w:rsidP="00000000" w:rsidRDefault="00000000" w:rsidRPr="00000000" w14:paraId="0000001E">
      <w:pPr>
        <w:jc w:val="both"/>
        <w:rPr/>
      </w:pPr>
      <w:r w:rsidDel="00000000" w:rsidR="00000000" w:rsidRPr="00000000">
        <w:rPr>
          <w:rtl w:val="0"/>
        </w:rPr>
        <w:t xml:space="preserve">Los criterios de inclusión al programa de trasplante robótico son: Pacientes mayores de 18 años, injertos de donante vivo, IMC entre 18 y 35. Como criterios de exclusión se utiliza: Cirugía abdominal previa extensa o múltiple que impidiera el acceso laparoscópico, la instalación de un GelPOINT®  o el posicionamiento del injerto en fosa ilíaca, comorbilidades que contraindiquen la posición de Trendelenburg forzada y ateromatosis severa que impida la sutura e instalación de clamps vasculares. No se descartan pacientes por injertos con vasos múltiples o presencia de riñón poliquístico del receptor</w:t>
      </w:r>
    </w:p>
    <w:p w:rsidR="00000000" w:rsidDel="00000000" w:rsidP="00000000" w:rsidRDefault="00000000" w:rsidRPr="00000000" w14:paraId="0000001F">
      <w:pPr>
        <w:jc w:val="both"/>
        <w:rPr/>
      </w:pPr>
      <w:r w:rsidDel="00000000" w:rsidR="00000000" w:rsidRPr="00000000">
        <w:rPr>
          <w:rtl w:val="0"/>
        </w:rPr>
        <w:t xml:space="preserve">En los datos reportados se incluyen las características basales de los donantes, receptores e injertos. Las variables quirúrgicas analizadas fueron los tiempos quirúrgicos (total y de consola) tiempos de isquemia (caliente, fría y recalentamiento), tiempo de anastomosis arterial, venosa y ureteral. Complicaciones intraoperatorias, sangrado quirúrgico y conversión a cirugía abierta. Los resultados funcionales evaluados fueron la creatinina y TFGe (tasa de filtración glomerular estimada) al mes de cirugía y en el último control registrado, la presencia de retardo de función del injerto y nefrectomías del injerto. </w:t>
      </w:r>
    </w:p>
    <w:p w:rsidR="00000000" w:rsidDel="00000000" w:rsidP="00000000" w:rsidRDefault="00000000" w:rsidRPr="00000000" w14:paraId="00000020">
      <w:pPr>
        <w:jc w:val="both"/>
        <w:rPr/>
      </w:pPr>
      <w:r w:rsidDel="00000000" w:rsidR="00000000" w:rsidRPr="00000000">
        <w:rPr>
          <w:rtl w:val="0"/>
        </w:rPr>
        <w:t xml:space="preserve">Las complicaciones post operatorias se dividieron según origen en complicaciones generales, vasculares y urológicas en 3 períodos; primeros 30 días (complicaciones tempranas), ocurridas entre los 31 - 90 días (complicaciones tardías) y mayores a 90 días (complicaciones de largo plazo). En todos los casos se utilizó la clasificación Clavien-Dindo.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El análisis estadístico fue descriptivo y se realizó con  R versión 4.4.2 (R Core Team, Viena, Austria). Para evaluar normalidad se utilizó la prueba de Shapiro-Wilk. Las variables continuas están reportadas como mediana y rango intercuartílico (RIQ) o como media y desviación estándar (DS) cuando tienen distribución normal. Las variables categóricas están reportadas como frecuencia y su respectivo porcentaje del total.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Técnica quirúrgica</w:t>
      </w:r>
    </w:p>
    <w:p w:rsidR="00000000" w:rsidDel="00000000" w:rsidP="00000000" w:rsidRDefault="00000000" w:rsidRPr="00000000" w14:paraId="00000025">
      <w:pPr>
        <w:jc w:val="both"/>
        <w:rPr/>
      </w:pPr>
      <w:r w:rsidDel="00000000" w:rsidR="00000000" w:rsidRPr="00000000">
        <w:rPr>
          <w:rtl w:val="0"/>
        </w:rPr>
        <w:t xml:space="preserve">Se utiliza la técnica de Vattikuti-Medanta </w:t>
      </w:r>
      <w:hyperlink r:id="rId19">
        <w:r w:rsidDel="00000000" w:rsidR="00000000" w:rsidRPr="00000000">
          <w:rPr>
            <w:b w:val="0"/>
            <w:color w:val="000000"/>
            <w:u w:val="none"/>
            <w:rtl w:val="0"/>
          </w:rPr>
          <w:t xml:space="preserve">(16)</w:t>
        </w:r>
      </w:hyperlink>
      <w:r w:rsidDel="00000000" w:rsidR="00000000" w:rsidRPr="00000000">
        <w:rPr>
          <w:rtl w:val="0"/>
        </w:rPr>
        <w:t xml:space="preserve"> con algunas modificaciones.</w:t>
      </w:r>
    </w:p>
    <w:p w:rsidR="00000000" w:rsidDel="00000000" w:rsidP="00000000" w:rsidRDefault="00000000" w:rsidRPr="00000000" w14:paraId="00000026">
      <w:pPr>
        <w:jc w:val="both"/>
        <w:rPr/>
      </w:pPr>
      <w:r w:rsidDel="00000000" w:rsidR="00000000" w:rsidRPr="00000000">
        <w:rPr>
          <w:rtl w:val="0"/>
        </w:rPr>
        <w:t xml:space="preserve">Paciente se posiciona en decúbito supino con Trendelenburg a 27°. Se realiza una incisión de Pfannenstiel de 6 cm y se inserta un GelPOINT® por el cual se realiza el neumoperitoneo. Los trócares robóticos se instalan en línea a 2 cm sobre el ombligo, añadiendo un trocar de 12 mm para el ayudante y dispositivo de mantención de neumoperitoneo AirSeal®. Se realiza una disección de los vasos ilíacos externos hasta asegurar un paso completo del clamp vascular. Tras la exposición de los vasos ilíacos se crea un bolsillo retroperitoneal lateral a estos, distal al ciego del colon y anterior al músculo psoas donde se ubicará el injerto una vez realizada la anastomosis vascular. Se realiza una disección </w:t>
      </w:r>
      <w:r w:rsidDel="00000000" w:rsidR="00000000" w:rsidRPr="00000000">
        <w:rPr>
          <w:rtl w:val="0"/>
        </w:rPr>
        <w:t xml:space="preserve">peritoneal</w:t>
      </w:r>
      <w:r w:rsidDel="00000000" w:rsidR="00000000" w:rsidRPr="00000000">
        <w:rPr>
          <w:rtl w:val="0"/>
        </w:rPr>
        <w:t xml:space="preserve"> anterior para acceder al espacio de Retzius, se prepara la vejiga para la posterior anastomosis ureteral con una incisión de 4 cm en su cara anterior hasta ver la mucosa. Al terminar la preparación del campo de trabajo, se introduce a través del </w:t>
      </w:r>
      <w:r w:rsidDel="00000000" w:rsidR="00000000" w:rsidRPr="00000000">
        <w:rPr>
          <w:rtl w:val="0"/>
        </w:rPr>
        <w:t xml:space="preserve">GelPOINT</w:t>
      </w:r>
      <w:r w:rsidDel="00000000" w:rsidR="00000000" w:rsidRPr="00000000">
        <w:rPr>
          <w:rtl w:val="0"/>
        </w:rPr>
        <w:t xml:space="preserve">® el injerto en media compresa con hielo medialmente a los vasos ilíacos. Se empieza la anastomosis venosa y luego arterial en ambos casos de una manera termino-lateral y con sutura continua de Gore-Tex 6-0® aguja CV-6. Se ponen clamp vasculares proximal a la anastomosis en los vasos renales del injerto para verificar indemnidad de la sutura una vez liberados los clamps vasculares de los vasos ilíacos, tras esto el riñón se </w:t>
      </w:r>
      <w:r w:rsidDel="00000000" w:rsidR="00000000" w:rsidRPr="00000000">
        <w:rPr>
          <w:rtl w:val="0"/>
        </w:rPr>
        <w:t xml:space="preserve">reperfunde</w:t>
      </w:r>
      <w:r w:rsidDel="00000000" w:rsidR="00000000" w:rsidRPr="00000000">
        <w:rPr>
          <w:rtl w:val="0"/>
        </w:rPr>
        <w:t xml:space="preserve">. El riñón se lateraliza a su bolsillo extraperitoneal y se cierra este espacio con Hemolocks. La anastomosis ureterovesical se hace tipo Lich-Gregoir, el uréter del injerto se </w:t>
      </w:r>
      <w:r w:rsidDel="00000000" w:rsidR="00000000" w:rsidRPr="00000000">
        <w:rPr>
          <w:rtl w:val="0"/>
        </w:rPr>
        <w:t xml:space="preserve">espatula</w:t>
      </w:r>
      <w:r w:rsidDel="00000000" w:rsidR="00000000" w:rsidRPr="00000000">
        <w:rPr>
          <w:rtl w:val="0"/>
        </w:rPr>
        <w:t xml:space="preserve"> y se anastomosa a la mucosa vesical con Monocryl 4-0 con instalación de catéter doble J intracorpóreo.  Figura 1.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Resultados</w:t>
      </w:r>
    </w:p>
    <w:p w:rsidR="00000000" w:rsidDel="00000000" w:rsidP="00000000" w:rsidRDefault="00000000" w:rsidRPr="00000000" w14:paraId="0000002D">
      <w:pPr>
        <w:jc w:val="both"/>
        <w:rPr/>
      </w:pPr>
      <w:r w:rsidDel="00000000" w:rsidR="00000000" w:rsidRPr="00000000">
        <w:rPr>
          <w:rtl w:val="0"/>
        </w:rPr>
        <w:t xml:space="preserve">Se realizaron 18 RAKT entre julio de 2021 y mayo de 2025 de injertos de donante vivo, con un una mediana de seguimiento de 18 meses (RIQ </w:t>
      </w:r>
      <w:r w:rsidDel="00000000" w:rsidR="00000000" w:rsidRPr="00000000">
        <w:rPr>
          <w:rtl w:val="0"/>
        </w:rPr>
        <w:t xml:space="preserve">13–23.9</w:t>
      </w:r>
      <w:r w:rsidDel="00000000" w:rsidR="00000000" w:rsidRPr="00000000">
        <w:rPr>
          <w:rtl w:val="0"/>
        </w:rPr>
        <w:t xml:space="preserve">).</w:t>
      </w:r>
    </w:p>
    <w:p w:rsidR="00000000" w:rsidDel="00000000" w:rsidP="00000000" w:rsidRDefault="00000000" w:rsidRPr="00000000" w14:paraId="0000002E">
      <w:pPr>
        <w:jc w:val="both"/>
        <w:rPr/>
      </w:pPr>
      <w:r w:rsidDel="00000000" w:rsidR="00000000" w:rsidRPr="00000000">
        <w:rPr>
          <w:rtl w:val="0"/>
        </w:rPr>
        <w:t xml:space="preserve">Todas las cirugías del donante se realizaron por vía laparoscópica con bolsa de extracción y mano asistida a través de incisión infraumbilical. La cirugía de banco se realiza por el mismo cirujano que realiza el RAKT, proceso que se hace mientras se irriga al riñón con solución de preservación. En los casos que hubo artéria múltiple se realizó anastomosis término-lateral a la arteria renal principal para realizar una anastomosis arterial de injerto a receptor. </w:t>
      </w:r>
    </w:p>
    <w:p w:rsidR="00000000" w:rsidDel="00000000" w:rsidP="00000000" w:rsidRDefault="00000000" w:rsidRPr="00000000" w14:paraId="0000002F">
      <w:pPr>
        <w:jc w:val="both"/>
        <w:rPr/>
      </w:pPr>
      <w:r w:rsidDel="00000000" w:rsidR="00000000" w:rsidRPr="00000000">
        <w:rPr>
          <w:rtl w:val="0"/>
        </w:rPr>
        <w:t xml:space="preserve">La media de edad de los donantes fue de 54.3 años (DS: 9.5) y el 88.9% fueron mujeres. </w:t>
      </w:r>
    </w:p>
    <w:p w:rsidR="00000000" w:rsidDel="00000000" w:rsidP="00000000" w:rsidRDefault="00000000" w:rsidRPr="00000000" w14:paraId="00000030">
      <w:pPr>
        <w:jc w:val="both"/>
        <w:rPr/>
      </w:pPr>
      <w:r w:rsidDel="00000000" w:rsidR="00000000" w:rsidRPr="00000000">
        <w:rPr>
          <w:rtl w:val="0"/>
        </w:rPr>
        <w:t xml:space="preserve">Las características de los receptores y de los injertos se describen en la Tabla 1. </w:t>
      </w:r>
    </w:p>
    <w:p w:rsidR="00000000" w:rsidDel="00000000" w:rsidP="00000000" w:rsidRDefault="00000000" w:rsidRPr="00000000" w14:paraId="00000031">
      <w:pPr>
        <w:jc w:val="both"/>
        <w:rPr/>
      </w:pPr>
      <w:r w:rsidDel="00000000" w:rsidR="00000000" w:rsidRPr="00000000">
        <w:rPr>
          <w:rtl w:val="0"/>
        </w:rPr>
      </w:r>
    </w:p>
    <w:tbl>
      <w:tblPr>
        <w:tblStyle w:val="Table1"/>
        <w:tblW w:w="6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875"/>
        <w:tblGridChange w:id="0">
          <w:tblGrid>
            <w:gridCol w:w="4185"/>
            <w:gridCol w:w="187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Tabla 1. Características de los receptores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jc w:val="both"/>
              <w:rPr/>
            </w:pPr>
            <w:r w:rsidDel="00000000" w:rsidR="00000000" w:rsidRPr="00000000">
              <w:rPr>
                <w:rtl w:val="0"/>
              </w:rPr>
              <w:t xml:space="preserve">N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both"/>
              <w:rPr/>
            </w:pPr>
            <w:r w:rsidDel="00000000" w:rsidR="00000000" w:rsidRPr="00000000">
              <w:rPr>
                <w:rtl w:val="0"/>
              </w:rPr>
              <w:t xml:space="preserve">Edad (años), media (DS)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jc w:val="both"/>
              <w:rPr/>
            </w:pPr>
            <w:r w:rsidDel="00000000" w:rsidR="00000000" w:rsidRPr="00000000">
              <w:rPr>
                <w:rtl w:val="0"/>
              </w:rPr>
              <w:t xml:space="preserve">47.44 (12.72)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jc w:val="both"/>
              <w:rPr/>
            </w:pPr>
            <w:r w:rsidDel="00000000" w:rsidR="00000000" w:rsidRPr="00000000">
              <w:rPr>
                <w:rtl w:val="0"/>
              </w:rPr>
              <w:t xml:space="preserve">IMC (kg/m2), media (DS)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both"/>
              <w:rPr/>
            </w:pPr>
            <w:r w:rsidDel="00000000" w:rsidR="00000000" w:rsidRPr="00000000">
              <w:rPr>
                <w:rtl w:val="0"/>
              </w:rPr>
              <w:t xml:space="preserve">26.19 (3.95)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jc w:val="both"/>
              <w:rPr/>
            </w:pPr>
            <w:r w:rsidDel="00000000" w:rsidR="00000000" w:rsidRPr="00000000">
              <w:rPr>
                <w:rtl w:val="0"/>
              </w:rPr>
              <w:t xml:space="preserve">Sexo (biológico), n (%)</w:t>
            </w:r>
          </w:p>
          <w:p w:rsidR="00000000" w:rsidDel="00000000" w:rsidP="00000000" w:rsidRDefault="00000000" w:rsidRPr="00000000" w14:paraId="0000003B">
            <w:pPr>
              <w:numPr>
                <w:ilvl w:val="0"/>
                <w:numId w:val="4"/>
              </w:numPr>
              <w:spacing w:line="240" w:lineRule="auto"/>
              <w:ind w:left="720" w:hanging="360"/>
              <w:jc w:val="both"/>
            </w:pPr>
            <w:r w:rsidDel="00000000" w:rsidR="00000000" w:rsidRPr="00000000">
              <w:rPr>
                <w:rtl w:val="0"/>
              </w:rPr>
              <w:t xml:space="preserve">Femenino</w:t>
            </w:r>
          </w:p>
          <w:p w:rsidR="00000000" w:rsidDel="00000000" w:rsidP="00000000" w:rsidRDefault="00000000" w:rsidRPr="00000000" w14:paraId="0000003C">
            <w:pPr>
              <w:numPr>
                <w:ilvl w:val="0"/>
                <w:numId w:val="4"/>
              </w:numPr>
              <w:spacing w:line="240" w:lineRule="auto"/>
              <w:ind w:left="720" w:hanging="360"/>
              <w:jc w:val="both"/>
            </w:pPr>
            <w:r w:rsidDel="00000000" w:rsidR="00000000" w:rsidRPr="00000000">
              <w:rPr>
                <w:rtl w:val="0"/>
              </w:rPr>
              <w:t xml:space="preserve">Masculino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jc w:val="both"/>
              <w:rPr/>
            </w:pPr>
            <w:r w:rsidDel="00000000" w:rsidR="00000000" w:rsidRPr="00000000">
              <w:rPr>
                <w:rtl w:val="0"/>
              </w:rPr>
              <w:br w:type="textWrapping"/>
              <w:t xml:space="preserve">9 (50)</w:t>
              <w:br w:type="textWrapping"/>
              <w:t xml:space="preserve">9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jc w:val="both"/>
              <w:rPr/>
            </w:pPr>
            <w:r w:rsidDel="00000000" w:rsidR="00000000" w:rsidRPr="00000000">
              <w:rPr>
                <w:rtl w:val="0"/>
              </w:rPr>
              <w:t xml:space="preserve">Charlson Comorbidity Index, n (%)</w:t>
            </w:r>
          </w:p>
          <w:p w:rsidR="00000000" w:rsidDel="00000000" w:rsidP="00000000" w:rsidRDefault="00000000" w:rsidRPr="00000000" w14:paraId="0000003F">
            <w:pPr>
              <w:numPr>
                <w:ilvl w:val="0"/>
                <w:numId w:val="6"/>
              </w:numPr>
              <w:spacing w:line="240" w:lineRule="auto"/>
              <w:ind w:left="720" w:hanging="360"/>
              <w:jc w:val="both"/>
            </w:pPr>
            <w:r w:rsidDel="00000000" w:rsidR="00000000" w:rsidRPr="00000000">
              <w:rPr>
                <w:rtl w:val="0"/>
              </w:rPr>
              <w:t xml:space="preserve">0-2</w:t>
            </w:r>
          </w:p>
          <w:p w:rsidR="00000000" w:rsidDel="00000000" w:rsidP="00000000" w:rsidRDefault="00000000" w:rsidRPr="00000000" w14:paraId="00000040">
            <w:pPr>
              <w:numPr>
                <w:ilvl w:val="0"/>
                <w:numId w:val="5"/>
              </w:numPr>
              <w:spacing w:line="240" w:lineRule="auto"/>
              <w:ind w:left="720" w:hanging="360"/>
              <w:jc w:val="both"/>
            </w:pPr>
            <w:r w:rsidDel="00000000" w:rsidR="00000000" w:rsidRPr="00000000">
              <w:rPr>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both"/>
              <w:rPr/>
            </w:pPr>
            <w:r w:rsidDel="00000000" w:rsidR="00000000" w:rsidRPr="00000000">
              <w:rPr>
                <w:rtl w:val="0"/>
              </w:rPr>
              <w:br w:type="textWrapping"/>
              <w:t xml:space="preserve">15 (83.3)</w:t>
              <w:br w:type="textWrapping"/>
              <w:t xml:space="preserve">3 (16.7)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jc w:val="both"/>
              <w:rPr/>
            </w:pPr>
            <w:r w:rsidDel="00000000" w:rsidR="00000000" w:rsidRPr="00000000">
              <w:rPr>
                <w:rtl w:val="0"/>
              </w:rPr>
              <w:t xml:space="preserve">Puntaje de ASA, n (%)</w:t>
            </w:r>
          </w:p>
          <w:p w:rsidR="00000000" w:rsidDel="00000000" w:rsidP="00000000" w:rsidRDefault="00000000" w:rsidRPr="00000000" w14:paraId="00000043">
            <w:pPr>
              <w:numPr>
                <w:ilvl w:val="0"/>
                <w:numId w:val="9"/>
              </w:numPr>
              <w:spacing w:line="240" w:lineRule="auto"/>
              <w:ind w:left="720" w:hanging="360"/>
              <w:jc w:val="both"/>
            </w:pPr>
            <w:r w:rsidDel="00000000" w:rsidR="00000000" w:rsidRPr="00000000">
              <w:rPr>
                <w:rtl w:val="0"/>
              </w:rPr>
              <w:t xml:space="preserve">2</w:t>
            </w:r>
          </w:p>
          <w:p w:rsidR="00000000" w:rsidDel="00000000" w:rsidP="00000000" w:rsidRDefault="00000000" w:rsidRPr="00000000" w14:paraId="00000044">
            <w:pPr>
              <w:numPr>
                <w:ilvl w:val="0"/>
                <w:numId w:val="9"/>
              </w:numPr>
              <w:spacing w:line="240" w:lineRule="auto"/>
              <w:ind w:left="720" w:hanging="360"/>
              <w:jc w:val="both"/>
            </w:pPr>
            <w:r w:rsidDel="00000000" w:rsidR="00000000" w:rsidRPr="00000000">
              <w:rPr>
                <w:rtl w:val="0"/>
              </w:rPr>
              <w:t xml:space="preserve">3</w:t>
            </w:r>
          </w:p>
          <w:p w:rsidR="00000000" w:rsidDel="00000000" w:rsidP="00000000" w:rsidRDefault="00000000" w:rsidRPr="00000000" w14:paraId="00000045">
            <w:pPr>
              <w:numPr>
                <w:ilvl w:val="0"/>
                <w:numId w:val="9"/>
              </w:numPr>
              <w:spacing w:line="240" w:lineRule="auto"/>
              <w:ind w:left="720" w:hanging="360"/>
              <w:jc w:val="both"/>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jc w:val="both"/>
              <w:rPr/>
            </w:pPr>
            <w:r w:rsidDel="00000000" w:rsidR="00000000" w:rsidRPr="00000000">
              <w:rPr>
                <w:rtl w:val="0"/>
              </w:rPr>
              <w:br w:type="textWrapping"/>
              <w:t xml:space="preserve">2 (11.1)</w:t>
              <w:br w:type="textWrapping"/>
              <w:t xml:space="preserve">15 (83.3)</w:t>
              <w:br w:type="textWrapping"/>
              <w:t xml:space="preserve">1 (5.6)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both"/>
              <w:rPr/>
            </w:pPr>
            <w:r w:rsidDel="00000000" w:rsidR="00000000" w:rsidRPr="00000000">
              <w:rPr>
                <w:rtl w:val="0"/>
              </w:rPr>
              <w:t xml:space="preserve">Cirugía abdominal previa,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both"/>
              <w:rPr/>
            </w:pPr>
            <w:r w:rsidDel="00000000" w:rsidR="00000000" w:rsidRPr="00000000">
              <w:rPr>
                <w:rtl w:val="0"/>
              </w:rPr>
              <w:t xml:space="preserve">5 (27.8)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jc w:val="both"/>
              <w:rPr/>
            </w:pPr>
            <w:r w:rsidDel="00000000" w:rsidR="00000000" w:rsidRPr="00000000">
              <w:rPr>
                <w:rtl w:val="0"/>
              </w:rPr>
              <w:t xml:space="preserve">Trasplante previo,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jc w:val="both"/>
              <w:rPr/>
            </w:pPr>
            <w:r w:rsidDel="00000000" w:rsidR="00000000" w:rsidRPr="00000000">
              <w:rPr>
                <w:rtl w:val="0"/>
              </w:rPr>
              <w:t xml:space="preserve">2 (11.1)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jc w:val="both"/>
              <w:rPr/>
            </w:pPr>
            <w:r w:rsidDel="00000000" w:rsidR="00000000" w:rsidRPr="00000000">
              <w:rPr>
                <w:rtl w:val="0"/>
              </w:rPr>
              <w:t xml:space="preserve">Trasplante preventivo,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jc w:val="both"/>
              <w:rPr/>
            </w:pPr>
            <w:r w:rsidDel="00000000" w:rsidR="00000000" w:rsidRPr="00000000">
              <w:rPr>
                <w:rtl w:val="0"/>
              </w:rPr>
              <w:t xml:space="preserve">6 (33.3)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jc w:val="both"/>
              <w:rPr/>
            </w:pPr>
            <w:r w:rsidDel="00000000" w:rsidR="00000000" w:rsidRPr="00000000">
              <w:rPr>
                <w:rtl w:val="0"/>
              </w:rPr>
              <w:t xml:space="preserve">TFGe  pre trasplante (mL/min/1.73 m²),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jc w:val="both"/>
              <w:rPr/>
            </w:pPr>
            <w:r w:rsidDel="00000000" w:rsidR="00000000" w:rsidRPr="00000000">
              <w:rPr>
                <w:rtl w:val="0"/>
              </w:rPr>
              <w:t xml:space="preserve">11.3 (9.6–15.2)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jc w:val="both"/>
              <w:rPr/>
            </w:pPr>
            <w:r w:rsidDel="00000000" w:rsidR="00000000" w:rsidRPr="00000000">
              <w:rPr>
                <w:rtl w:val="0"/>
              </w:rPr>
              <w:t xml:space="preserve">Creatinina pre trasplante (mg/dl),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both"/>
              <w:rPr/>
            </w:pPr>
            <w:r w:rsidDel="00000000" w:rsidR="00000000" w:rsidRPr="00000000">
              <w:rPr>
                <w:rtl w:val="0"/>
              </w:rPr>
              <w:t xml:space="preserve">4.76 (4.63–6.38)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both"/>
              <w:rPr/>
            </w:pPr>
            <w:r w:rsidDel="00000000" w:rsidR="00000000" w:rsidRPr="00000000">
              <w:rPr>
                <w:rtl w:val="0"/>
              </w:rPr>
              <w:t xml:space="preserve">Etiología de enfermedad renal, n (%)</w:t>
            </w:r>
          </w:p>
          <w:p w:rsidR="00000000" w:rsidDel="00000000" w:rsidP="00000000" w:rsidRDefault="00000000" w:rsidRPr="00000000" w14:paraId="00000052">
            <w:pPr>
              <w:numPr>
                <w:ilvl w:val="0"/>
                <w:numId w:val="1"/>
              </w:numPr>
              <w:spacing w:line="240" w:lineRule="auto"/>
              <w:ind w:left="720" w:hanging="360"/>
              <w:jc w:val="both"/>
            </w:pPr>
            <w:r w:rsidDel="00000000" w:rsidR="00000000" w:rsidRPr="00000000">
              <w:rPr>
                <w:rtl w:val="0"/>
              </w:rPr>
              <w:t xml:space="preserve">Glomerulonefritis</w:t>
            </w:r>
          </w:p>
          <w:p w:rsidR="00000000" w:rsidDel="00000000" w:rsidP="00000000" w:rsidRDefault="00000000" w:rsidRPr="00000000" w14:paraId="00000053">
            <w:pPr>
              <w:numPr>
                <w:ilvl w:val="0"/>
                <w:numId w:val="1"/>
              </w:numPr>
              <w:spacing w:line="240" w:lineRule="auto"/>
              <w:ind w:left="720" w:hanging="360"/>
              <w:jc w:val="both"/>
            </w:pPr>
            <w:r w:rsidDel="00000000" w:rsidR="00000000" w:rsidRPr="00000000">
              <w:rPr>
                <w:rtl w:val="0"/>
              </w:rPr>
              <w:t xml:space="preserve">Otras</w:t>
            </w:r>
          </w:p>
          <w:p w:rsidR="00000000" w:rsidDel="00000000" w:rsidP="00000000" w:rsidRDefault="00000000" w:rsidRPr="00000000" w14:paraId="00000054">
            <w:pPr>
              <w:numPr>
                <w:ilvl w:val="0"/>
                <w:numId w:val="1"/>
              </w:numPr>
              <w:spacing w:line="240" w:lineRule="auto"/>
              <w:ind w:left="720" w:hanging="360"/>
              <w:jc w:val="both"/>
            </w:pPr>
            <w:r w:rsidDel="00000000" w:rsidR="00000000" w:rsidRPr="00000000">
              <w:rPr>
                <w:rtl w:val="0"/>
              </w:rPr>
              <w:t xml:space="preserve">Desconocida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jc w:val="both"/>
              <w:rPr/>
            </w:pPr>
            <w:r w:rsidDel="00000000" w:rsidR="00000000" w:rsidRPr="00000000">
              <w:rPr>
                <w:rtl w:val="0"/>
              </w:rPr>
              <w:br w:type="textWrapping"/>
              <w:t xml:space="preserve">9 (50)</w:t>
            </w:r>
          </w:p>
          <w:p w:rsidR="00000000" w:rsidDel="00000000" w:rsidP="00000000" w:rsidRDefault="00000000" w:rsidRPr="00000000" w14:paraId="00000056">
            <w:pPr>
              <w:spacing w:line="240" w:lineRule="auto"/>
              <w:jc w:val="both"/>
              <w:rPr/>
            </w:pPr>
            <w:r w:rsidDel="00000000" w:rsidR="00000000" w:rsidRPr="00000000">
              <w:rPr>
                <w:rtl w:val="0"/>
              </w:rPr>
              <w:t xml:space="preserve">5 (27.8)</w:t>
              <w:br w:type="textWrapping"/>
              <w:t xml:space="preserve">4 (22.2)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jc w:val="both"/>
              <w:rPr/>
            </w:pPr>
            <w:r w:rsidDel="00000000" w:rsidR="00000000" w:rsidRPr="00000000">
              <w:rPr>
                <w:rtl w:val="0"/>
              </w:rPr>
              <w:t xml:space="preserve">Compatibilidad ABO, n (%)</w:t>
              <w:br w:type="textWrapping"/>
              <w:t xml:space="preserve">Incompatibilidad ABO,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jc w:val="both"/>
              <w:rPr/>
            </w:pPr>
            <w:r w:rsidDel="00000000" w:rsidR="00000000" w:rsidRPr="00000000">
              <w:rPr>
                <w:rtl w:val="0"/>
              </w:rPr>
              <w:t xml:space="preserve">16 (88.9)</w:t>
              <w:br w:type="textWrapping"/>
              <w:t xml:space="preserve">2 (11.1)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jc w:val="both"/>
              <w:rPr/>
            </w:pPr>
            <w:r w:rsidDel="00000000" w:rsidR="00000000" w:rsidRPr="00000000">
              <w:rPr>
                <w:rtl w:val="0"/>
              </w:rPr>
              <w:t xml:space="preserve">Arteria múltiple,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jc w:val="both"/>
              <w:rPr/>
            </w:pPr>
            <w:r w:rsidDel="00000000" w:rsidR="00000000" w:rsidRPr="00000000">
              <w:rPr>
                <w:rtl w:val="0"/>
              </w:rPr>
              <w:t xml:space="preserve">8 (44.4)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jc w:val="both"/>
              <w:rPr/>
            </w:pPr>
            <w:r w:rsidDel="00000000" w:rsidR="00000000" w:rsidRPr="00000000">
              <w:rPr>
                <w:rtl w:val="0"/>
              </w:rPr>
              <w:t xml:space="preserve">Vena múltiple,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jc w:val="both"/>
              <w:rPr/>
            </w:pPr>
            <w:r w:rsidDel="00000000" w:rsidR="00000000" w:rsidRPr="00000000">
              <w:rPr>
                <w:rtl w:val="0"/>
              </w:rPr>
              <w:t xml:space="preserve">0 (0.0)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jc w:val="both"/>
              <w:rPr/>
            </w:pPr>
            <w:r w:rsidDel="00000000" w:rsidR="00000000" w:rsidRPr="00000000">
              <w:rPr>
                <w:rtl w:val="0"/>
              </w:rPr>
              <w:t xml:space="preserve">Riñones izquierdos,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jc w:val="both"/>
              <w:rPr/>
            </w:pPr>
            <w:r w:rsidDel="00000000" w:rsidR="00000000" w:rsidRPr="00000000">
              <w:rPr>
                <w:rtl w:val="0"/>
              </w:rPr>
              <w:t xml:space="preserve">16 (88.9)</w:t>
            </w:r>
          </w:p>
        </w:tc>
      </w:tr>
    </w:tbl>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Resultados Quirúrgicos Intraoperatorios</w:t>
      </w:r>
    </w:p>
    <w:p w:rsidR="00000000" w:rsidDel="00000000" w:rsidP="00000000" w:rsidRDefault="00000000" w:rsidRPr="00000000" w14:paraId="00000062">
      <w:pPr>
        <w:jc w:val="both"/>
        <w:rPr/>
      </w:pPr>
      <w:r w:rsidDel="00000000" w:rsidR="00000000" w:rsidRPr="00000000">
        <w:rPr>
          <w:rtl w:val="0"/>
        </w:rPr>
        <w:t xml:space="preserve">El tiempo total operatorio fue de 315 minutos, el tiempo de consola de 240 minutos, el tiempo de isquemia fría fue de 55 minutos, y el de recalentamiento de 68 minutos. El tiempo de anastomosis arterial, venosa y ureteral fue de 28, 25 y 20 minutos respectivamente. En el 88.9% de los casos se posicionó el injerto en la fosa ilíaca derecha, y en un caso se utilizó como vía de acceso del injerto la vía transvaginal. La mediana de sangrado fueron 100 ml y ocurrió una complicación grave intraoperatoria que derivó en el único caso que  se convirtió a cirugía abierta. Un paciente tuvo necesidad de transfusión de glóbulos rojos intraoperatorios. Estos resultados en detalle se encuentran en la Tabla 2.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tbl>
      <w:tblPr>
        <w:tblStyle w:val="Table2"/>
        <w:tblW w:w="71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40"/>
        <w:gridCol w:w="1815"/>
        <w:tblGridChange w:id="0">
          <w:tblGrid>
            <w:gridCol w:w="5340"/>
            <w:gridCol w:w="181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jc w:val="both"/>
              <w:rPr/>
            </w:pPr>
            <w:r w:rsidDel="00000000" w:rsidR="00000000" w:rsidRPr="00000000">
              <w:rPr>
                <w:rtl w:val="0"/>
              </w:rPr>
              <w:t xml:space="preserve">Tabla 2. Resultados Intraoperatorios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jc w:val="both"/>
              <w:rPr/>
            </w:pPr>
            <w:r w:rsidDel="00000000" w:rsidR="00000000" w:rsidRPr="00000000">
              <w:rPr>
                <w:rtl w:val="0"/>
              </w:rPr>
              <w:t xml:space="preserve">Tiempo operatorio total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jc w:val="both"/>
              <w:rPr/>
            </w:pPr>
            <w:r w:rsidDel="00000000" w:rsidR="00000000" w:rsidRPr="00000000">
              <w:rPr>
                <w:rtl w:val="0"/>
              </w:rPr>
              <w:t xml:space="preserve">315 (300–360)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jc w:val="both"/>
              <w:rPr/>
            </w:pPr>
            <w:r w:rsidDel="00000000" w:rsidR="00000000" w:rsidRPr="00000000">
              <w:rPr>
                <w:rtl w:val="0"/>
              </w:rPr>
              <w:t xml:space="preserve">Tiempo de consola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jc w:val="both"/>
              <w:rPr/>
            </w:pPr>
            <w:r w:rsidDel="00000000" w:rsidR="00000000" w:rsidRPr="00000000">
              <w:rPr>
                <w:rtl w:val="0"/>
              </w:rPr>
              <w:t xml:space="preserve">240 (200–247)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jc w:val="both"/>
              <w:rPr/>
            </w:pPr>
            <w:r w:rsidDel="00000000" w:rsidR="00000000" w:rsidRPr="00000000">
              <w:rPr>
                <w:rtl w:val="0"/>
              </w:rPr>
              <w:t xml:space="preserve">Tiempo de isquemia caliente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jc w:val="both"/>
              <w:rPr/>
            </w:pPr>
            <w:r w:rsidDel="00000000" w:rsidR="00000000" w:rsidRPr="00000000">
              <w:rPr>
                <w:rtl w:val="0"/>
              </w:rPr>
              <w:t xml:space="preserve">4 (4–4.9)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jc w:val="both"/>
              <w:rPr/>
            </w:pPr>
            <w:r w:rsidDel="00000000" w:rsidR="00000000" w:rsidRPr="00000000">
              <w:rPr>
                <w:rtl w:val="0"/>
              </w:rPr>
              <w:t xml:space="preserve">Tiempo isquemia fría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both"/>
              <w:rPr/>
            </w:pPr>
            <w:r w:rsidDel="00000000" w:rsidR="00000000" w:rsidRPr="00000000">
              <w:rPr>
                <w:rtl w:val="0"/>
              </w:rPr>
              <w:t xml:space="preserve">55 (42.3–60)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jc w:val="both"/>
              <w:rPr/>
            </w:pPr>
            <w:r w:rsidDel="00000000" w:rsidR="00000000" w:rsidRPr="00000000">
              <w:rPr>
                <w:rtl w:val="0"/>
              </w:rPr>
              <w:t xml:space="preserve">Tiempo recalentamiento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jc w:val="both"/>
              <w:rPr/>
            </w:pPr>
            <w:r w:rsidDel="00000000" w:rsidR="00000000" w:rsidRPr="00000000">
              <w:rPr>
                <w:rtl w:val="0"/>
              </w:rPr>
              <w:t xml:space="preserve">68 (65–73)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both"/>
              <w:rPr/>
            </w:pPr>
            <w:r w:rsidDel="00000000" w:rsidR="00000000" w:rsidRPr="00000000">
              <w:rPr>
                <w:rtl w:val="0"/>
              </w:rPr>
              <w:t xml:space="preserve">Tiempo anastomosis venosa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jc w:val="both"/>
              <w:rPr/>
            </w:pPr>
            <w:r w:rsidDel="00000000" w:rsidR="00000000" w:rsidRPr="00000000">
              <w:rPr>
                <w:rtl w:val="0"/>
              </w:rPr>
              <w:t xml:space="preserve">28 (23–40)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jc w:val="both"/>
              <w:rPr/>
            </w:pPr>
            <w:r w:rsidDel="00000000" w:rsidR="00000000" w:rsidRPr="00000000">
              <w:rPr>
                <w:rtl w:val="0"/>
              </w:rPr>
              <w:t xml:space="preserve">Tiempo anastomosis arterial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jc w:val="both"/>
              <w:rPr/>
            </w:pPr>
            <w:r w:rsidDel="00000000" w:rsidR="00000000" w:rsidRPr="00000000">
              <w:rPr>
                <w:rtl w:val="0"/>
              </w:rPr>
              <w:t xml:space="preserve">25 (20–27)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jc w:val="both"/>
              <w:rPr/>
            </w:pPr>
            <w:r w:rsidDel="00000000" w:rsidR="00000000" w:rsidRPr="00000000">
              <w:rPr>
                <w:rtl w:val="0"/>
              </w:rPr>
              <w:t xml:space="preserve">Tiempo uréter (minutos),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jc w:val="both"/>
              <w:rPr/>
            </w:pPr>
            <w:r w:rsidDel="00000000" w:rsidR="00000000" w:rsidRPr="00000000">
              <w:rPr>
                <w:rtl w:val="0"/>
              </w:rPr>
              <w:t xml:space="preserve">20 (15–30)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jc w:val="both"/>
              <w:rPr/>
            </w:pPr>
            <w:r w:rsidDel="00000000" w:rsidR="00000000" w:rsidRPr="00000000">
              <w:rPr>
                <w:rtl w:val="0"/>
              </w:rPr>
              <w:t xml:space="preserve">Lado de posicionamiento de injerto, n (%)</w:t>
            </w:r>
          </w:p>
          <w:p w:rsidR="00000000" w:rsidDel="00000000" w:rsidP="00000000" w:rsidRDefault="00000000" w:rsidRPr="00000000" w14:paraId="00000078">
            <w:pPr>
              <w:numPr>
                <w:ilvl w:val="0"/>
                <w:numId w:val="2"/>
              </w:numPr>
              <w:spacing w:line="240" w:lineRule="auto"/>
              <w:ind w:left="720" w:hanging="360"/>
              <w:jc w:val="both"/>
            </w:pPr>
            <w:r w:rsidDel="00000000" w:rsidR="00000000" w:rsidRPr="00000000">
              <w:rPr>
                <w:rtl w:val="0"/>
              </w:rPr>
              <w:t xml:space="preserve">Izquierdo</w:t>
            </w:r>
          </w:p>
          <w:p w:rsidR="00000000" w:rsidDel="00000000" w:rsidP="00000000" w:rsidRDefault="00000000" w:rsidRPr="00000000" w14:paraId="00000079">
            <w:pPr>
              <w:numPr>
                <w:ilvl w:val="0"/>
                <w:numId w:val="2"/>
              </w:numPr>
              <w:spacing w:line="240" w:lineRule="auto"/>
              <w:ind w:left="720" w:hanging="360"/>
              <w:jc w:val="both"/>
            </w:pPr>
            <w:r w:rsidDel="00000000" w:rsidR="00000000" w:rsidRPr="00000000">
              <w:rPr>
                <w:rtl w:val="0"/>
              </w:rPr>
              <w:t xml:space="preserve">Derecho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jc w:val="both"/>
              <w:rPr/>
            </w:pPr>
            <w:r w:rsidDel="00000000" w:rsidR="00000000" w:rsidRPr="00000000">
              <w:rPr>
                <w:rtl w:val="0"/>
              </w:rPr>
              <w:br w:type="textWrapping"/>
              <w:t xml:space="preserve">2 (11.1)</w:t>
              <w:br w:type="textWrapping"/>
              <w:t xml:space="preserve">16 (88.9)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jc w:val="both"/>
              <w:rPr/>
            </w:pPr>
            <w:r w:rsidDel="00000000" w:rsidR="00000000" w:rsidRPr="00000000">
              <w:rPr>
                <w:rtl w:val="0"/>
              </w:rPr>
              <w:t xml:space="preserve">Vía de ingreso de injerto, n (%)</w:t>
            </w:r>
          </w:p>
          <w:p w:rsidR="00000000" w:rsidDel="00000000" w:rsidP="00000000" w:rsidRDefault="00000000" w:rsidRPr="00000000" w14:paraId="0000007C">
            <w:pPr>
              <w:numPr>
                <w:ilvl w:val="0"/>
                <w:numId w:val="3"/>
              </w:numPr>
              <w:spacing w:line="240" w:lineRule="auto"/>
              <w:ind w:left="720" w:hanging="360"/>
              <w:jc w:val="both"/>
            </w:pPr>
            <w:r w:rsidDel="00000000" w:rsidR="00000000" w:rsidRPr="00000000">
              <w:rPr>
                <w:rtl w:val="0"/>
              </w:rPr>
              <w:t xml:space="preserve">GelPOINT (Pfannenstiel)</w:t>
            </w:r>
          </w:p>
          <w:p w:rsidR="00000000" w:rsidDel="00000000" w:rsidP="00000000" w:rsidRDefault="00000000" w:rsidRPr="00000000" w14:paraId="0000007D">
            <w:pPr>
              <w:numPr>
                <w:ilvl w:val="0"/>
                <w:numId w:val="3"/>
              </w:numPr>
              <w:spacing w:line="240" w:lineRule="auto"/>
              <w:ind w:left="720" w:hanging="360"/>
              <w:jc w:val="both"/>
            </w:pPr>
            <w:r w:rsidDel="00000000" w:rsidR="00000000" w:rsidRPr="00000000">
              <w:rPr>
                <w:rtl w:val="0"/>
              </w:rPr>
              <w:t xml:space="preserve">Vaginal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jc w:val="both"/>
              <w:rPr/>
            </w:pPr>
            <w:r w:rsidDel="00000000" w:rsidR="00000000" w:rsidRPr="00000000">
              <w:rPr>
                <w:rtl w:val="0"/>
              </w:rPr>
              <w:br w:type="textWrapping"/>
              <w:t xml:space="preserve">17 (94.4)</w:t>
              <w:br w:type="textWrapping"/>
              <w:t xml:space="preserve">1 (5.6)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jc w:val="both"/>
              <w:rPr/>
            </w:pPr>
            <w:r w:rsidDel="00000000" w:rsidR="00000000" w:rsidRPr="00000000">
              <w:rPr>
                <w:rtl w:val="0"/>
              </w:rPr>
              <w:t xml:space="preserve">Sangrado (mililitros),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both"/>
              <w:rPr/>
            </w:pPr>
            <w:r w:rsidDel="00000000" w:rsidR="00000000" w:rsidRPr="00000000">
              <w:rPr>
                <w:rtl w:val="0"/>
              </w:rPr>
              <w:t xml:space="preserve">100 (92.5–200)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jc w:val="both"/>
              <w:rPr/>
            </w:pPr>
            <w:r w:rsidDel="00000000" w:rsidR="00000000" w:rsidRPr="00000000">
              <w:rPr>
                <w:rtl w:val="0"/>
              </w:rPr>
              <w:t xml:space="preserve">Conversión a cirugía abierta,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jc w:val="both"/>
              <w:rPr/>
            </w:pPr>
            <w:r w:rsidDel="00000000" w:rsidR="00000000" w:rsidRPr="00000000">
              <w:rPr>
                <w:rtl w:val="0"/>
              </w:rPr>
              <w:t xml:space="preserve">1 (5.6)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jc w:val="both"/>
              <w:rPr/>
            </w:pPr>
            <w:r w:rsidDel="00000000" w:rsidR="00000000" w:rsidRPr="00000000">
              <w:rPr>
                <w:rtl w:val="0"/>
              </w:rPr>
              <w:t xml:space="preserve">Complicaciones mayores intraoperatorias,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jc w:val="both"/>
              <w:rPr/>
            </w:pPr>
            <w:r w:rsidDel="00000000" w:rsidR="00000000" w:rsidRPr="00000000">
              <w:rPr>
                <w:rtl w:val="0"/>
              </w:rPr>
              <w:t xml:space="preserve">1 (5.6)</w:t>
            </w:r>
          </w:p>
        </w:tc>
      </w:tr>
    </w:tbl>
    <w:p w:rsidR="00000000" w:rsidDel="00000000" w:rsidP="00000000" w:rsidRDefault="00000000" w:rsidRPr="00000000" w14:paraId="00000085">
      <w:pPr>
        <w:jc w:val="both"/>
        <w:rPr/>
      </w:pPr>
      <w:r w:rsidDel="00000000" w:rsidR="00000000" w:rsidRPr="00000000">
        <w:rPr>
          <w:rtl w:val="0"/>
        </w:rPr>
        <w:t xml:space="preserve">Leyenda Tabla 2: </w:t>
      </w:r>
    </w:p>
    <w:p w:rsidR="00000000" w:rsidDel="00000000" w:rsidP="00000000" w:rsidRDefault="00000000" w:rsidRPr="00000000" w14:paraId="00000086">
      <w:pPr>
        <w:jc w:val="both"/>
        <w:rPr/>
      </w:pPr>
      <w:r w:rsidDel="00000000" w:rsidR="00000000" w:rsidRPr="00000000">
        <w:rPr>
          <w:rtl w:val="0"/>
        </w:rPr>
        <w:t xml:space="preserve">Tiempo de isquemia caliente:  El periodo entre la interrupción del flujo sanguíneo y el inicio del enfriamiento del órgano</w:t>
      </w:r>
    </w:p>
    <w:p w:rsidR="00000000" w:rsidDel="00000000" w:rsidP="00000000" w:rsidRDefault="00000000" w:rsidRPr="00000000" w14:paraId="00000087">
      <w:pPr>
        <w:jc w:val="both"/>
        <w:rPr/>
      </w:pPr>
      <w:r w:rsidDel="00000000" w:rsidR="00000000" w:rsidRPr="00000000">
        <w:rPr>
          <w:rtl w:val="0"/>
        </w:rPr>
        <w:t xml:space="preserve">Tiempo de isquemia fría: Tiempo de enfriamiento del órgano con o sin perfusión con solución de almacenamiento, antes de introducirlo al receptor</w:t>
      </w:r>
    </w:p>
    <w:p w:rsidR="00000000" w:rsidDel="00000000" w:rsidP="00000000" w:rsidRDefault="00000000" w:rsidRPr="00000000" w14:paraId="00000088">
      <w:pPr>
        <w:jc w:val="both"/>
        <w:rPr/>
      </w:pPr>
      <w:r w:rsidDel="00000000" w:rsidR="00000000" w:rsidRPr="00000000">
        <w:rPr>
          <w:rtl w:val="0"/>
        </w:rPr>
        <w:t xml:space="preserve">Tiempo de recalentamiento: Periodo luego de retirar el injerto del depósito en frío y el inicio de la reperfusión luego de completar la anastomosis arterial.</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Resultados Quirúrgicos Postoperatorios</w:t>
      </w:r>
    </w:p>
    <w:p w:rsidR="00000000" w:rsidDel="00000000" w:rsidP="00000000" w:rsidRDefault="00000000" w:rsidRPr="00000000" w14:paraId="0000008C">
      <w:pPr>
        <w:jc w:val="both"/>
        <w:rPr/>
      </w:pPr>
      <w:r w:rsidDel="00000000" w:rsidR="00000000" w:rsidRPr="00000000">
        <w:rPr>
          <w:rtl w:val="0"/>
        </w:rPr>
        <w:t xml:space="preserve">Durante el periodo postoperatorio se registró una mediana de estadía hospitalaria de 12 días.</w:t>
      </w:r>
    </w:p>
    <w:p w:rsidR="00000000" w:rsidDel="00000000" w:rsidP="00000000" w:rsidRDefault="00000000" w:rsidRPr="00000000" w14:paraId="0000008D">
      <w:pPr>
        <w:jc w:val="both"/>
        <w:rPr/>
      </w:pPr>
      <w:r w:rsidDel="00000000" w:rsidR="00000000" w:rsidRPr="00000000">
        <w:rPr>
          <w:rtl w:val="0"/>
        </w:rPr>
        <w:t xml:space="preserve">Durante el seguimiento se registró un total de 9 complicaciones, en el período temprano ocurrieron 5 complicaciones y en el período tardío ocurrieron 4:</w:t>
      </w:r>
    </w:p>
    <w:p w:rsidR="00000000" w:rsidDel="00000000" w:rsidP="00000000" w:rsidRDefault="00000000" w:rsidRPr="00000000" w14:paraId="0000008E">
      <w:pPr>
        <w:jc w:val="both"/>
        <w:rPr/>
      </w:pPr>
      <w:r w:rsidDel="00000000" w:rsidR="00000000" w:rsidRPr="00000000">
        <w:rPr>
          <w:rtl w:val="0"/>
        </w:rPr>
        <w:t xml:space="preserve">Las complicaciones tempranas fueron una linforrea (CD grado I) que se manejó con vigilancia, dos pacientes tuvieron baja de hemoglobina (CD grado II), uno asintomático y el otro por sangrado rectal, ambos requirieron transfusión de una unidad de glóbulos rojos. Se registró una sepsis de foco urinario (CD grado IIIa) que requirió manejo con antibióticos e instalación de nefrostomía y un deterioro de la función renal (CD grado IIIa) que requirió instalación de nefrostomía. No se registraron complicaciones vasculares. </w:t>
      </w:r>
    </w:p>
    <w:p w:rsidR="00000000" w:rsidDel="00000000" w:rsidP="00000000" w:rsidRDefault="00000000" w:rsidRPr="00000000" w14:paraId="0000008F">
      <w:pPr>
        <w:jc w:val="both"/>
        <w:rPr/>
      </w:pPr>
      <w:r w:rsidDel="00000000" w:rsidR="00000000" w:rsidRPr="00000000">
        <w:rPr>
          <w:rtl w:val="0"/>
        </w:rPr>
        <w:t xml:space="preserve">Las complicaciones tardías fueron una pielonefritis (CD grado II) manejada con antibióticos, 2 deterioros de la función renal, uno manejado con corticoides (CD grado II) y otro paciente se manejo con corticoides y requirió una biopsia renal (CD IIIa), la última complicación registrada corresponde a un paciente con fuga de orina a nivel de uréter distal del injerto al cual se le instaló catéter doble J y nefrostomía (CD grado IIIa). En el período de los primeros 90 días post trasplante se registraron 2 reingresos hospitalarios relacionados con la cirugía (uno por fuga urinaria y el otro por deterioro de función renal, ambos descritos previamente). </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Resultados Funcionales Postoperatorios</w:t>
      </w:r>
    </w:p>
    <w:p w:rsidR="00000000" w:rsidDel="00000000" w:rsidP="00000000" w:rsidRDefault="00000000" w:rsidRPr="00000000" w14:paraId="00000092">
      <w:pPr>
        <w:jc w:val="both"/>
        <w:rPr/>
      </w:pPr>
      <w:r w:rsidDel="00000000" w:rsidR="00000000" w:rsidRPr="00000000">
        <w:rPr>
          <w:rtl w:val="0"/>
        </w:rPr>
        <w:t xml:space="preserve">A 30 días la mediana de TFGe (mL/min/1.73 m²) fue de 54, con la siguiente distribución: 5 pacientes (27.8%) fue mayor o igual a 60, 13 pacientes (72.2%) entre 50–30. En el último control medido en ficha, la mediana de TFGe (mL/min/1.73 m²) fue de 62.8;  los pacientes se distribuyeron en 11 pacientes (61.1%) con mayor o igual a 60 y 7  pacientes (38.9%) entre 59–30, en ninguno de los 2 grupos hubieron pacientes con TFGe menor a 29. </w:t>
      </w:r>
    </w:p>
    <w:p w:rsidR="00000000" w:rsidDel="00000000" w:rsidP="00000000" w:rsidRDefault="00000000" w:rsidRPr="00000000" w14:paraId="00000093">
      <w:pPr>
        <w:jc w:val="both"/>
        <w:rPr/>
      </w:pPr>
      <w:r w:rsidDel="00000000" w:rsidR="00000000" w:rsidRPr="00000000">
        <w:rPr>
          <w:rtl w:val="0"/>
        </w:rPr>
        <w:t xml:space="preserve">La creatinina sérica medida al día 30 desde el trasplante tuvo una mediana de 1.44 mg/dl </w:t>
      </w:r>
    </w:p>
    <w:p w:rsidR="00000000" w:rsidDel="00000000" w:rsidP="00000000" w:rsidRDefault="00000000" w:rsidRPr="00000000" w14:paraId="00000094">
      <w:pPr>
        <w:jc w:val="both"/>
        <w:rPr/>
      </w:pPr>
      <w:r w:rsidDel="00000000" w:rsidR="00000000" w:rsidRPr="00000000">
        <w:rPr>
          <w:rtl w:val="0"/>
        </w:rPr>
        <w:t xml:space="preserve">La mediana del último registro de creatinina (mg/dl) fue de 1.33.  Se registró un paciente con retardo en la función del injerto, el cual necesitó una sesión de diálisis a los 4 días postoperatorios, sin casos de requerimientos de diálisis posterior. No se reportaron casos de nefrectomía del injerto y tampoco hubo muertes en todo el seguimiento desde el trasplante. El detalle de los resultados postoperatorios se detalla en la Tabla 3. </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35"/>
        <w:tblGridChange w:id="0">
          <w:tblGrid>
            <w:gridCol w:w="6825"/>
            <w:gridCol w:w="253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jc w:val="both"/>
              <w:rPr/>
            </w:pPr>
            <w:r w:rsidDel="00000000" w:rsidR="00000000" w:rsidRPr="00000000">
              <w:rPr>
                <w:rtl w:val="0"/>
              </w:rPr>
              <w:t xml:space="preserve">Tabla 3. Resultados Postoperatorios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jc w:val="both"/>
              <w:rPr/>
            </w:pPr>
            <w:r w:rsidDel="00000000" w:rsidR="00000000" w:rsidRPr="00000000">
              <w:rPr>
                <w:rtl w:val="0"/>
              </w:rPr>
              <w:t xml:space="preserve">Días de hospitalización,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jc w:val="both"/>
              <w:rPr/>
            </w:pPr>
            <w:r w:rsidDel="00000000" w:rsidR="00000000" w:rsidRPr="00000000">
              <w:rPr>
                <w:rtl w:val="0"/>
              </w:rPr>
              <w:t xml:space="preserve">12 (10–13.8)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jc w:val="both"/>
              <w:rPr/>
            </w:pPr>
            <w:r w:rsidDel="00000000" w:rsidR="00000000" w:rsidRPr="00000000">
              <w:rPr>
                <w:rtl w:val="0"/>
              </w:rPr>
              <w:t xml:space="preserve">Pérdida del injerto,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jc w:val="both"/>
              <w:rPr/>
            </w:pPr>
            <w:r w:rsidDel="00000000" w:rsidR="00000000" w:rsidRPr="00000000">
              <w:rPr>
                <w:rtl w:val="0"/>
              </w:rPr>
              <w:t xml:space="preserve">0 (0.0)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jc w:val="both"/>
              <w:rPr/>
            </w:pPr>
            <w:r w:rsidDel="00000000" w:rsidR="00000000" w:rsidRPr="00000000">
              <w:rPr>
                <w:rtl w:val="0"/>
              </w:rPr>
              <w:t xml:space="preserve">Función retardada del injerto,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jc w:val="both"/>
              <w:rPr/>
            </w:pPr>
            <w:r w:rsidDel="00000000" w:rsidR="00000000" w:rsidRPr="00000000">
              <w:rPr>
                <w:rtl w:val="0"/>
              </w:rPr>
              <w:t xml:space="preserve">1 (5.6)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jc w:val="both"/>
              <w:rPr/>
            </w:pPr>
            <w:r w:rsidDel="00000000" w:rsidR="00000000" w:rsidRPr="00000000">
              <w:rPr>
                <w:rtl w:val="0"/>
              </w:rPr>
              <w:t xml:space="preserve">Necesidad de transfusión sanguínea,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jc w:val="both"/>
              <w:rPr/>
            </w:pPr>
            <w:r w:rsidDel="00000000" w:rsidR="00000000" w:rsidRPr="00000000">
              <w:rPr>
                <w:rtl w:val="0"/>
              </w:rPr>
              <w:t xml:space="preserve">2 (11.1)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jc w:val="both"/>
              <w:rPr/>
            </w:pPr>
            <w:r w:rsidDel="00000000" w:rsidR="00000000" w:rsidRPr="00000000">
              <w:rPr>
                <w:rFonts w:ascii="Arial Unicode MS" w:cs="Arial Unicode MS" w:eastAsia="Arial Unicode MS" w:hAnsi="Arial Unicode MS"/>
                <w:rtl w:val="0"/>
              </w:rPr>
              <w:t xml:space="preserve">Número total de complicaciones ≤ 90 días, n (%)</w:t>
            </w:r>
          </w:p>
          <w:p w:rsidR="00000000" w:rsidDel="00000000" w:rsidP="00000000" w:rsidRDefault="00000000" w:rsidRPr="00000000" w14:paraId="000000A2">
            <w:pPr>
              <w:numPr>
                <w:ilvl w:val="0"/>
                <w:numId w:val="8"/>
              </w:numPr>
              <w:spacing w:line="240" w:lineRule="auto"/>
              <w:ind w:left="720" w:hanging="360"/>
              <w:jc w:val="both"/>
            </w:pPr>
            <w:r w:rsidDel="00000000" w:rsidR="00000000" w:rsidRPr="00000000">
              <w:rPr>
                <w:rtl w:val="0"/>
              </w:rPr>
              <w:t xml:space="preserve">Urológicas</w:t>
            </w:r>
          </w:p>
          <w:p w:rsidR="00000000" w:rsidDel="00000000" w:rsidP="00000000" w:rsidRDefault="00000000" w:rsidRPr="00000000" w14:paraId="000000A3">
            <w:pPr>
              <w:numPr>
                <w:ilvl w:val="0"/>
                <w:numId w:val="8"/>
              </w:numPr>
              <w:spacing w:line="240" w:lineRule="auto"/>
              <w:ind w:left="720" w:hanging="360"/>
              <w:jc w:val="both"/>
            </w:pPr>
            <w:r w:rsidDel="00000000" w:rsidR="00000000" w:rsidRPr="00000000">
              <w:rPr>
                <w:rtl w:val="0"/>
              </w:rPr>
              <w:t xml:space="preserve">Vasculares</w:t>
            </w:r>
          </w:p>
          <w:p w:rsidR="00000000" w:rsidDel="00000000" w:rsidP="00000000" w:rsidRDefault="00000000" w:rsidRPr="00000000" w14:paraId="000000A4">
            <w:pPr>
              <w:numPr>
                <w:ilvl w:val="0"/>
                <w:numId w:val="8"/>
              </w:numPr>
              <w:spacing w:line="240" w:lineRule="auto"/>
              <w:ind w:left="720" w:hanging="360"/>
              <w:jc w:val="both"/>
            </w:pPr>
            <w:r w:rsidDel="00000000" w:rsidR="00000000" w:rsidRPr="00000000">
              <w:rPr>
                <w:rtl w:val="0"/>
              </w:rPr>
              <w:t xml:space="preserve">Generales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jc w:val="both"/>
              <w:rPr/>
            </w:pPr>
            <w:r w:rsidDel="00000000" w:rsidR="00000000" w:rsidRPr="00000000">
              <w:rPr>
                <w:rtl w:val="0"/>
              </w:rPr>
              <w:t xml:space="preserve">9  (100)</w:t>
              <w:br w:type="textWrapping"/>
              <w:t xml:space="preserve">3  (33.3)</w:t>
              <w:br w:type="textWrapping"/>
              <w:t xml:space="preserve">0 (0.0)</w:t>
              <w:br w:type="textWrapping"/>
              <w:t xml:space="preserve">6 (66.67)</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jc w:val="both"/>
              <w:rPr/>
            </w:pPr>
            <w:r w:rsidDel="00000000" w:rsidR="00000000" w:rsidRPr="00000000">
              <w:rPr>
                <w:rtl w:val="0"/>
              </w:rPr>
              <w:t xml:space="preserve">Complicaciones días 1 - 30 postoperatorios, n (%)</w:t>
              <w:br w:type="textWrapping"/>
              <w:t xml:space="preserve">Grado de las complicaciones, n (%)</w:t>
            </w:r>
          </w:p>
          <w:p w:rsidR="00000000" w:rsidDel="00000000" w:rsidP="00000000" w:rsidRDefault="00000000" w:rsidRPr="00000000" w14:paraId="000000A7">
            <w:pPr>
              <w:spacing w:line="240" w:lineRule="auto"/>
              <w:jc w:val="both"/>
              <w:rPr/>
            </w:pPr>
            <w:r w:rsidDel="00000000" w:rsidR="00000000" w:rsidRPr="00000000">
              <w:rPr>
                <w:rtl w:val="0"/>
              </w:rPr>
              <w:t xml:space="preserve">Clavien–Dindo I</w:t>
            </w:r>
          </w:p>
          <w:p w:rsidR="00000000" w:rsidDel="00000000" w:rsidP="00000000" w:rsidRDefault="00000000" w:rsidRPr="00000000" w14:paraId="000000A8">
            <w:pPr>
              <w:spacing w:line="240" w:lineRule="auto"/>
              <w:jc w:val="both"/>
              <w:rPr/>
            </w:pPr>
            <w:r w:rsidDel="00000000" w:rsidR="00000000" w:rsidRPr="00000000">
              <w:rPr>
                <w:rtl w:val="0"/>
              </w:rPr>
              <w:t xml:space="preserve">Clavien–Dindo II</w:t>
            </w:r>
          </w:p>
          <w:p w:rsidR="00000000" w:rsidDel="00000000" w:rsidP="00000000" w:rsidRDefault="00000000" w:rsidRPr="00000000" w14:paraId="000000A9">
            <w:pPr>
              <w:spacing w:line="240" w:lineRule="auto"/>
              <w:jc w:val="both"/>
              <w:rPr/>
            </w:pPr>
            <w:r w:rsidDel="00000000" w:rsidR="00000000" w:rsidRPr="00000000">
              <w:rPr>
                <w:rtl w:val="0"/>
              </w:rPr>
              <w:t xml:space="preserve">Clavien–Dindo 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jc w:val="both"/>
              <w:rPr/>
            </w:pPr>
            <w:r w:rsidDel="00000000" w:rsidR="00000000" w:rsidRPr="00000000">
              <w:rPr>
                <w:rtl w:val="0"/>
              </w:rPr>
              <w:t xml:space="preserve">5 (55.5)</w:t>
              <w:br w:type="textWrapping"/>
              <w:br w:type="textWrapping"/>
              <w:t xml:space="preserve">1 (20)</w:t>
              <w:br w:type="textWrapping"/>
              <w:t xml:space="preserve">2 (40)</w:t>
              <w:br w:type="textWrapping"/>
              <w:t xml:space="preserve">2 (40)</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jc w:val="both"/>
              <w:rPr/>
            </w:pPr>
            <w:r w:rsidDel="00000000" w:rsidR="00000000" w:rsidRPr="00000000">
              <w:rPr>
                <w:rtl w:val="0"/>
              </w:rPr>
              <w:t xml:space="preserve">Complicaciones días 31 - 90 postoperatorios, n (%)</w:t>
              <w:br w:type="textWrapping"/>
              <w:t xml:space="preserve">Grado de las complicaciones, n (%)</w:t>
            </w:r>
          </w:p>
          <w:p w:rsidR="00000000" w:rsidDel="00000000" w:rsidP="00000000" w:rsidRDefault="00000000" w:rsidRPr="00000000" w14:paraId="000000AC">
            <w:pPr>
              <w:spacing w:line="240" w:lineRule="auto"/>
              <w:jc w:val="both"/>
              <w:rPr/>
            </w:pPr>
            <w:r w:rsidDel="00000000" w:rsidR="00000000" w:rsidRPr="00000000">
              <w:rPr>
                <w:rtl w:val="0"/>
              </w:rPr>
              <w:t xml:space="preserve">Clavien–Dindo II</w:t>
            </w:r>
          </w:p>
          <w:p w:rsidR="00000000" w:rsidDel="00000000" w:rsidP="00000000" w:rsidRDefault="00000000" w:rsidRPr="00000000" w14:paraId="000000AD">
            <w:pPr>
              <w:spacing w:line="240" w:lineRule="auto"/>
              <w:jc w:val="both"/>
              <w:rPr/>
            </w:pPr>
            <w:r w:rsidDel="00000000" w:rsidR="00000000" w:rsidRPr="00000000">
              <w:rPr>
                <w:rtl w:val="0"/>
              </w:rPr>
              <w:t xml:space="preserve">Clavien–Dindo 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jc w:val="both"/>
              <w:rPr/>
            </w:pPr>
            <w:r w:rsidDel="00000000" w:rsidR="00000000" w:rsidRPr="00000000">
              <w:rPr>
                <w:rtl w:val="0"/>
              </w:rPr>
              <w:t xml:space="preserve">4 (22.2)</w:t>
              <w:br w:type="textWrapping"/>
              <w:br w:type="textWrapping"/>
              <w:t xml:space="preserve">2 (50)</w:t>
              <w:br w:type="textWrapping"/>
              <w:t xml:space="preserve">2 (50)</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jc w:val="both"/>
              <w:rPr/>
            </w:pPr>
            <w:r w:rsidDel="00000000" w:rsidR="00000000" w:rsidRPr="00000000">
              <w:rPr>
                <w:rtl w:val="0"/>
              </w:rPr>
              <w:t xml:space="preserve">Complicaciones &gt; 90 días,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jc w:val="both"/>
              <w:rPr/>
            </w:pPr>
            <w:r w:rsidDel="00000000" w:rsidR="00000000" w:rsidRPr="00000000">
              <w:rPr>
                <w:rtl w:val="0"/>
              </w:rPr>
              <w:t xml:space="preserve">2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jc w:val="both"/>
              <w:rPr/>
            </w:pPr>
            <w:r w:rsidDel="00000000" w:rsidR="00000000" w:rsidRPr="00000000">
              <w:rPr>
                <w:rtl w:val="0"/>
              </w:rPr>
              <w:t xml:space="preserve">Reingresos,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jc w:val="both"/>
              <w:rPr/>
            </w:pPr>
            <w:r w:rsidDel="00000000" w:rsidR="00000000" w:rsidRPr="00000000">
              <w:rPr>
                <w:rtl w:val="0"/>
              </w:rPr>
              <w:t xml:space="preserve">2 (11.1)</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jc w:val="both"/>
              <w:rPr/>
            </w:pPr>
            <w:r w:rsidDel="00000000" w:rsidR="00000000" w:rsidRPr="00000000">
              <w:rPr>
                <w:rtl w:val="0"/>
              </w:rPr>
              <w:t xml:space="preserve">Resultados Funcionales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jc w:val="both"/>
              <w:rPr/>
            </w:pPr>
            <w:r w:rsidDel="00000000" w:rsidR="00000000" w:rsidRPr="00000000">
              <w:rPr>
                <w:rtl w:val="0"/>
              </w:rPr>
              <w:t xml:space="preserve">Creatinina primer mes (mg/dl),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jc w:val="both"/>
              <w:rPr/>
            </w:pPr>
            <w:r w:rsidDel="00000000" w:rsidR="00000000" w:rsidRPr="00000000">
              <w:rPr>
                <w:rtl w:val="0"/>
              </w:rPr>
              <w:t xml:space="preserve">1.44 (1.26–1.64)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jc w:val="both"/>
              <w:rPr/>
            </w:pPr>
            <w:r w:rsidDel="00000000" w:rsidR="00000000" w:rsidRPr="00000000">
              <w:rPr>
                <w:rtl w:val="0"/>
              </w:rPr>
              <w:t xml:space="preserve">TFGe (mL/min/1.73 m²) primer mes,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jc w:val="both"/>
              <w:rPr/>
            </w:pPr>
            <w:r w:rsidDel="00000000" w:rsidR="00000000" w:rsidRPr="00000000">
              <w:rPr>
                <w:rtl w:val="0"/>
              </w:rPr>
              <w:t xml:space="preserve">54 (46–59)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jc w:val="both"/>
              <w:rPr/>
            </w:pPr>
            <w:r w:rsidDel="00000000" w:rsidR="00000000" w:rsidRPr="00000000">
              <w:rPr>
                <w:rtl w:val="0"/>
              </w:rPr>
              <w:t xml:space="preserve">Última creatinina del seguimiento (mg/dl),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jc w:val="both"/>
              <w:rPr/>
            </w:pPr>
            <w:r w:rsidDel="00000000" w:rsidR="00000000" w:rsidRPr="00000000">
              <w:rPr>
                <w:rtl w:val="0"/>
              </w:rPr>
              <w:t xml:space="preserve">1.33 (1.20–1.56)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jc w:val="both"/>
              <w:rPr/>
            </w:pPr>
            <w:r w:rsidDel="00000000" w:rsidR="00000000" w:rsidRPr="00000000">
              <w:rPr>
                <w:rtl w:val="0"/>
              </w:rPr>
              <w:t xml:space="preserve">Última TFGe del seguimiento  (mL/min/1.73 m²),, mediana (RIQ)</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jc w:val="both"/>
              <w:rPr/>
            </w:pPr>
            <w:r w:rsidDel="00000000" w:rsidR="00000000" w:rsidRPr="00000000">
              <w:rPr>
                <w:rtl w:val="0"/>
              </w:rPr>
              <w:t xml:space="preserve">62.8 (48.8–67.3)</w:t>
            </w:r>
          </w:p>
        </w:tc>
      </w:tr>
    </w:tbl>
    <w:p w:rsidR="00000000" w:rsidDel="00000000" w:rsidP="00000000" w:rsidRDefault="00000000" w:rsidRPr="00000000" w14:paraId="000000BD">
      <w:pPr>
        <w:jc w:val="both"/>
        <w:rPr/>
      </w:pPr>
      <w:r w:rsidDel="00000000" w:rsidR="00000000" w:rsidRPr="00000000">
        <w:rPr>
          <w:rtl w:val="0"/>
        </w:rPr>
        <w:t xml:space="preserve">Definiciones Tabla:  Pérdida del injerto: Nefrectomía quirúrgica o rechazo. Función retardada del injerto: Necesidad de diálisis en primera semana. </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Complicaciones de Largo Plazo</w:t>
      </w:r>
    </w:p>
    <w:p w:rsidR="00000000" w:rsidDel="00000000" w:rsidP="00000000" w:rsidRDefault="00000000" w:rsidRPr="00000000" w14:paraId="000000C0">
      <w:pPr>
        <w:jc w:val="both"/>
        <w:rPr/>
      </w:pPr>
      <w:r w:rsidDel="00000000" w:rsidR="00000000" w:rsidRPr="00000000">
        <w:rPr>
          <w:rtl w:val="0"/>
        </w:rPr>
        <w:t xml:space="preserve">Se registraron 2 casos de estenosis ureteral ocurridas más allá del período de seguimiento de 90 días, una a los 20 meses y la otra a los 9 meses. Ambos casos se resolvieron con reimplante ureteral robótico, sin necesidad de nuevas intervenciones ni compromiso del injerto al fin del seguimiento. </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b w:val="1"/>
        </w:rPr>
      </w:pPr>
      <w:r w:rsidDel="00000000" w:rsidR="00000000" w:rsidRPr="00000000">
        <w:rPr>
          <w:b w:val="1"/>
          <w:rtl w:val="0"/>
        </w:rPr>
        <w:t xml:space="preserve">Discusión</w:t>
      </w:r>
    </w:p>
    <w:p w:rsidR="00000000" w:rsidDel="00000000" w:rsidP="00000000" w:rsidRDefault="00000000" w:rsidRPr="00000000" w14:paraId="000000C6">
      <w:pPr>
        <w:jc w:val="both"/>
        <w:rPr/>
      </w:pPr>
      <w:r w:rsidDel="00000000" w:rsidR="00000000" w:rsidRPr="00000000">
        <w:rPr>
          <w:rtl w:val="0"/>
        </w:rPr>
        <w:t xml:space="preserve">Nuestra serie ilustra la experiencia inicial de implementación del trasplante renal asistido por robot (RAKT) en un centro español, realizada por un único cirujano con amplia experiencia en trasplante renal abierto pero con menor experiencia en cirugía robótica. Pese a estas limitaciones, los resultados obtenidos muestran que la técnica es factible y segura, con complicaciones intra y postoperatorias manejables y resultados funcionales satisfactorios en un período de seguimiento de medio plazo.</w:t>
      </w:r>
    </w:p>
    <w:p w:rsidR="00000000" w:rsidDel="00000000" w:rsidP="00000000" w:rsidRDefault="00000000" w:rsidRPr="00000000" w14:paraId="000000C7">
      <w:pPr>
        <w:jc w:val="both"/>
        <w:rPr/>
      </w:pPr>
      <w:r w:rsidDel="00000000" w:rsidR="00000000" w:rsidRPr="00000000">
        <w:rPr>
          <w:rtl w:val="0"/>
        </w:rPr>
        <w:t xml:space="preserve"> </w:t>
      </w:r>
    </w:p>
    <w:p w:rsidR="00000000" w:rsidDel="00000000" w:rsidP="00000000" w:rsidRDefault="00000000" w:rsidRPr="00000000" w14:paraId="000000C8">
      <w:pPr>
        <w:jc w:val="both"/>
        <w:rPr/>
      </w:pPr>
      <w:r w:rsidDel="00000000" w:rsidR="00000000" w:rsidRPr="00000000">
        <w:rPr>
          <w:rtl w:val="0"/>
        </w:rPr>
        <w:t xml:space="preserve">Al comparar nuestra experiencia con otras publicaciones de series iniciales, se observan diferencias relevantes en cuanto a criterios de inclusión y grado de experiencia previa de los cirujanos. En la primera publicación de la Fundació Puigvert, Breda et al, publicó luego de un año de experiencia su serie inicial con 17 pacientes con donante vivo preventivo sometidos a RAKT, con tiempos medios operatorios de 356 minutos, de consola 180 minutos y tiempo de recalentamiento 51.5 minutos, tiempos medios de arteria y vena  de 20.1, 21.6  respectivamente, sin complicaciones intraoperatorias</w:t>
      </w:r>
      <w:hyperlink r:id="rId20">
        <w:r w:rsidDel="00000000" w:rsidR="00000000" w:rsidRPr="00000000">
          <w:rPr>
            <w:b w:val="0"/>
            <w:color w:val="000000"/>
            <w:u w:val="none"/>
            <w:rtl w:val="0"/>
          </w:rPr>
          <w:t xml:space="preserve">(22)</w:t>
        </w:r>
      </w:hyperlink>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 </w:t>
      </w:r>
    </w:p>
    <w:p w:rsidR="00000000" w:rsidDel="00000000" w:rsidP="00000000" w:rsidRDefault="00000000" w:rsidRPr="00000000" w14:paraId="000000CA">
      <w:pPr>
        <w:jc w:val="both"/>
        <w:rPr/>
      </w:pPr>
      <w:r w:rsidDel="00000000" w:rsidR="00000000" w:rsidRPr="00000000">
        <w:rPr>
          <w:rtl w:val="0"/>
        </w:rPr>
        <w:t xml:space="preserve">La primera experiencia con cirugía de este tipo en Corea del Sur publicada en 2024 se incluyó 50 casos de RAKT realizados por un cirujano con más de 1000 trasplantes renales abiertos pero sin experiencia previa en cirugía mínimamente invasiva, pero que realizó un extenso entrenamiento basado principalmente en simulación antes de comenzar el programa. En esa cohorte se seleccionaron únicamente pacientes con vasos únicos y bajo IMC, lo que probablemente contribuyó a tiempos medios operatorios de 323 minutos, de recalentamiento de 62.5 minutos,  la anastomosis arterial, venosa y de uréter tuvieron medias de tiempo de 15, 21 y 33 minutos respectivamente. Con necesidades de transfusión intraoperatorias reportadas en un 30% de los casos y ausencia de conversiones a cirugía abierta.  </w:t>
      </w:r>
      <w:hyperlink r:id="rId21">
        <w:r w:rsidDel="00000000" w:rsidR="00000000" w:rsidRPr="00000000">
          <w:rPr>
            <w:b w:val="0"/>
            <w:color w:val="000000"/>
            <w:u w:val="none"/>
            <w:rtl w:val="0"/>
          </w:rPr>
          <w:t xml:space="preserve">(23)</w:t>
        </w:r>
      </w:hyperlink>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 </w:t>
      </w:r>
    </w:p>
    <w:p w:rsidR="00000000" w:rsidDel="00000000" w:rsidP="00000000" w:rsidRDefault="00000000" w:rsidRPr="00000000" w14:paraId="000000CC">
      <w:pPr>
        <w:jc w:val="both"/>
        <w:rPr/>
      </w:pPr>
      <w:r w:rsidDel="00000000" w:rsidR="00000000" w:rsidRPr="00000000">
        <w:rPr>
          <w:rtl w:val="0"/>
        </w:rPr>
        <w:t xml:space="preserve">En Turquía se publicó una experiencia inicial de un cirujano con más de 700 cirugías robóticas antes de iniciar RAKT. En esta serie de 40 pacientes, se excluyeron casos complejos (cirugías previas, peritoneodiálisis, riñones poliquísticos), consiguiendo tiempos quirúrgicos más acotados, media de cirugía de 256 minutos,  tiempo medio de recalentamiento de 54 minutos, tiempo medio de arteria, vena y uréter de 18.45, 20.92 y 21.3 minutos respectivamente además de complicaciones mínimas.</w:t>
      </w:r>
      <w:hyperlink r:id="rId22">
        <w:r w:rsidDel="00000000" w:rsidR="00000000" w:rsidRPr="00000000">
          <w:rPr>
            <w:b w:val="0"/>
            <w:color w:val="000000"/>
            <w:u w:val="none"/>
            <w:rtl w:val="0"/>
          </w:rPr>
          <w:t xml:space="preserve">(24)</w:t>
        </w:r>
      </w:hyperlink>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En nuestra cohorte, los criterios de inclusión fueron más amplios desde el inicio, aceptando receptores con trasplantes previos, cirugías abdominales previas, injertos con vasos múltiples, riñones poliquísticos, incompatibilidad ABO y pacientes obesos. Esto contrasta con la práctica de varios grupos internacionales, que han optado por iniciar sus programas con criterios de selección más restrictivos. (22-26)</w:t>
      </w:r>
    </w:p>
    <w:p w:rsidR="00000000" w:rsidDel="00000000" w:rsidP="00000000" w:rsidRDefault="00000000" w:rsidRPr="00000000" w14:paraId="000000CE">
      <w:pPr>
        <w:jc w:val="both"/>
        <w:rPr/>
      </w:pPr>
      <w:r w:rsidDel="00000000" w:rsidR="00000000" w:rsidRPr="00000000">
        <w:rPr>
          <w:rtl w:val="0"/>
        </w:rPr>
        <w:t xml:space="preserve"> </w:t>
      </w:r>
    </w:p>
    <w:p w:rsidR="00000000" w:rsidDel="00000000" w:rsidP="00000000" w:rsidRDefault="00000000" w:rsidRPr="00000000" w14:paraId="000000CF">
      <w:pPr>
        <w:jc w:val="both"/>
        <w:rPr/>
      </w:pPr>
      <w:r w:rsidDel="00000000" w:rsidR="00000000" w:rsidRPr="00000000">
        <w:rPr>
          <w:rtl w:val="0"/>
        </w:rPr>
        <w:t xml:space="preserve">Aunque este enfoque probablemente contribuyó a tiempos quirúrgicos más prolongados y a una tasa de complicaciones no despreciable, también aporta valor al reflejar una práctica más representativa de la realidad clínica local.</w:t>
      </w:r>
    </w:p>
    <w:p w:rsidR="00000000" w:rsidDel="00000000" w:rsidP="00000000" w:rsidRDefault="00000000" w:rsidRPr="00000000" w14:paraId="000000D0">
      <w:pPr>
        <w:jc w:val="both"/>
        <w:rPr/>
      </w:pPr>
      <w:r w:rsidDel="00000000" w:rsidR="00000000" w:rsidRPr="00000000">
        <w:rPr>
          <w:rtl w:val="0"/>
        </w:rPr>
        <w:t xml:space="preserve">La literatura muestra que la curva de aprendizaje del RAKT puede variar según la experiencia previa del cirujano en robótica y trasplante abierto</w:t>
      </w:r>
      <w:hyperlink r:id="rId23">
        <w:r w:rsidDel="00000000" w:rsidR="00000000" w:rsidRPr="00000000">
          <w:rPr>
            <w:b w:val="0"/>
            <w:color w:val="000000"/>
            <w:u w:val="none"/>
            <w:rtl w:val="0"/>
          </w:rPr>
          <w:t xml:space="preserve">(27)</w:t>
        </w:r>
      </w:hyperlink>
      <w:r w:rsidDel="00000000" w:rsidR="00000000" w:rsidRPr="00000000">
        <w:rPr>
          <w:rtl w:val="0"/>
        </w:rPr>
        <w:t xml:space="preserve"> , pero incluso cirujanos experimentados con cirugía robótica urológica y trasplante renal abierto necesitan una de al menos de 35 casos de RAKT para alcanzar el dominio de esta técnica</w:t>
      </w:r>
      <w:hyperlink r:id="rId24">
        <w:r w:rsidDel="00000000" w:rsidR="00000000" w:rsidRPr="00000000">
          <w:rPr>
            <w:b w:val="0"/>
            <w:color w:val="000000"/>
            <w:u w:val="none"/>
            <w:rtl w:val="0"/>
          </w:rPr>
          <w:t xml:space="preserve">(27,28)</w:t>
        </w:r>
      </w:hyperlink>
      <w:r w:rsidDel="00000000" w:rsidR="00000000" w:rsidRPr="00000000">
        <w:rPr>
          <w:rtl w:val="0"/>
        </w:rPr>
        <w:t xml:space="preserve">. En Cádiz, el programa se inició con un cirujano con más de 300 trasplantes renales abiertos pero solo 40 cirugías robóticas previas, un número claramente inferior al reportado en otros centros antes de empezar su primera serie de RAKT (22,24,25)</w:t>
      </w:r>
    </w:p>
    <w:p w:rsidR="00000000" w:rsidDel="00000000" w:rsidP="00000000" w:rsidRDefault="00000000" w:rsidRPr="00000000" w14:paraId="000000D1">
      <w:pPr>
        <w:jc w:val="both"/>
        <w:rPr/>
      </w:pPr>
      <w:r w:rsidDel="00000000" w:rsidR="00000000" w:rsidRPr="00000000">
        <w:rPr>
          <w:rtl w:val="0"/>
        </w:rPr>
        <w:t xml:space="preserve">Esto refuerza la importancia de la formación estructurada mediante cursos avanzados, simulación quirúrgica y programas de mentoría para facilitar la transición hacia el trasplante robótico. Cursos presenciales especializados en RAKT como  el impartido por Orsi Academy, Bélgica, donde por 3 días se realiza un aprendizaje estandarizado, paso a paso tanto práctico como teórico en laboratorio de simulación y modelos porciones han demostrado ser de gran utilidad en este proceso, permitiendo una enseñanza estandarizada de la técnica más rápida y segura. También se han desarrollado modelos impresos en 3D de simulación como el RAKT-Box, que permite realizar simulación donde se cuente con un robot, permitiendo desarrollar paso a paso las etapas críticas de la cirugía.</w:t>
      </w:r>
      <w:hyperlink r:id="rId25">
        <w:r w:rsidDel="00000000" w:rsidR="00000000" w:rsidRPr="00000000">
          <w:rPr>
            <w:b w:val="0"/>
            <w:color w:val="000000"/>
            <w:u w:val="none"/>
            <w:rtl w:val="0"/>
          </w:rPr>
          <w:t xml:space="preserve">(28)</w:t>
        </w:r>
      </w:hyperlink>
      <w:r w:rsidDel="00000000" w:rsidR="00000000" w:rsidRPr="00000000">
        <w:rPr>
          <w:rtl w:val="0"/>
        </w:rPr>
        <w:t xml:space="preserve"> Además de cursos y simulación otros autores destacan la necesidad de comenzar los primeros casos con programas de mentorías con expertos en esta cirugía. </w:t>
      </w:r>
      <w:hyperlink r:id="rId26">
        <w:r w:rsidDel="00000000" w:rsidR="00000000" w:rsidRPr="00000000">
          <w:rPr>
            <w:b w:val="0"/>
            <w:color w:val="000000"/>
            <w:u w:val="none"/>
            <w:rtl w:val="0"/>
          </w:rPr>
          <w:t xml:space="preserve">(6)</w:t>
        </w:r>
      </w:hyperlink>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t xml:space="preserve"> </w:t>
      </w:r>
    </w:p>
    <w:p w:rsidR="00000000" w:rsidDel="00000000" w:rsidP="00000000" w:rsidRDefault="00000000" w:rsidRPr="00000000" w14:paraId="000000D3">
      <w:pPr>
        <w:jc w:val="both"/>
        <w:rPr/>
      </w:pPr>
      <w:r w:rsidDel="00000000" w:rsidR="00000000" w:rsidRPr="00000000">
        <w:rPr>
          <w:rtl w:val="0"/>
        </w:rPr>
        <w:t xml:space="preserve">A partir de nuestra experiencia y de la literatura disponible, proponemos que la implementación de un programa de RAKT debería seguir una ruta de aprendizaje estructurada. Esta ruta puede contemplar cinco etapas progresivas: (1) entrenamiento básico en simulación y cirugía robótica urológica (nefrectomía parcial, prostatectomía, cistectomía) con un mínimo de 40 casos antes de realizar el primer RAKT; (2) formación específica en RAKT mediante cursos estandarizados y simulación específica, como los impartidos por ORSI Academy, así como el uso de modelos porcinos y simuladores 3D como el RAKT-Box; (3) mentoría en los primeros casos clínicos, seleccionando inicialmente receptores de bajo riesgo (vasos únicos, IMC bajo, sin cirugías previas); (4) ampliación progresiva de los criterios de inclusión conforme aumenta la experiencia, incorporando progresivamente casos más complejos como injertos con vasos múltiples; y (5) participación en redes colaborativas multicéntricas como ERUS-RAKT, que permiten estandarizar técnicas, acelerar la curva de aprendizaje y comparar resultados de manera objetiva.</w:t>
      </w:r>
    </w:p>
    <w:p w:rsidR="00000000" w:rsidDel="00000000" w:rsidP="00000000" w:rsidRDefault="00000000" w:rsidRPr="00000000" w14:paraId="000000D4">
      <w:pPr>
        <w:jc w:val="both"/>
        <w:rPr/>
      </w:pPr>
      <w:r w:rsidDel="00000000" w:rsidR="00000000" w:rsidRPr="00000000">
        <w:rPr>
          <w:rtl w:val="0"/>
        </w:rPr>
        <w:t xml:space="preserve"> </w:t>
      </w:r>
    </w:p>
    <w:p w:rsidR="00000000" w:rsidDel="00000000" w:rsidP="00000000" w:rsidRDefault="00000000" w:rsidRPr="00000000" w14:paraId="000000D5">
      <w:pPr>
        <w:jc w:val="both"/>
        <w:rPr/>
      </w:pPr>
      <w:r w:rsidDel="00000000" w:rsidR="00000000" w:rsidRPr="00000000">
        <w:rPr>
          <w:rtl w:val="0"/>
        </w:rPr>
        <w:t xml:space="preserve">En cuanto a resultados de centros de alto volumen, la serie colaborativa multicéntrica europea de ERUS-RAKT publicada en 2024 por </w:t>
      </w:r>
      <w:r w:rsidDel="00000000" w:rsidR="00000000" w:rsidRPr="00000000">
        <w:rPr>
          <w:rtl w:val="0"/>
        </w:rPr>
        <w:t xml:space="preserve">Territo</w:t>
      </w:r>
      <w:r w:rsidDel="00000000" w:rsidR="00000000" w:rsidRPr="00000000">
        <w:rPr>
          <w:rtl w:val="0"/>
        </w:rPr>
        <w:t xml:space="preserve"> y colaboradores representa el mayor registro prospectivo hasta la fecha, con 2785 pacientes operados entre 2015 y 2023. Este estudio reportó tasas de complicaciones mayores bajas (7,7% en el período temprano y 2,3% en el tardío), conversiones a cirugía abierta en el 2,4%, pérdida del injerto en el 1,9% y una media de TFGe de 53 ml/min a los 6 meses</w:t>
      </w:r>
      <w:hyperlink r:id="rId27">
        <w:r w:rsidDel="00000000" w:rsidR="00000000" w:rsidRPr="00000000">
          <w:rPr>
            <w:b w:val="0"/>
            <w:color w:val="000000"/>
            <w:u w:val="none"/>
            <w:rtl w:val="0"/>
          </w:rPr>
          <w:t xml:space="preserve">(20)</w:t>
        </w:r>
      </w:hyperlink>
      <w:r w:rsidDel="00000000" w:rsidR="00000000" w:rsidRPr="00000000">
        <w:rPr>
          <w:rtl w:val="0"/>
        </w:rPr>
        <w:t xml:space="preserve"> . Si bien nuestros resultados no alcanzan los de estas series consolidadas, es necesario interpretar estas diferencias en el marco de la experiencia inicial, el volumen limitado y los criterios de selección más amplios.</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El contexto clínico desarrollado en este trabajo corresponde a la experiencia del servicio de urología del Hospital Universitario Puerta del Mar, Cádiz. Es un centro de salud terciario de referencia en Andalucía, el cual realiza una media de 100 trasplantes renales (26 en 2024 y 100 cirugías robóticas urológicas (105 el 2024) al año. Esta región tiene una elevada tasa de donante cadavérico (59.3 donantes por millón de habitantes en 2024) por lo que cuentan con una basta experiencia en esta cirugía, sin embargo este mismo factor condiciona a una menor cantidad de trasplantes de donante vivo y por lo tanto de RAKT. </w:t>
      </w:r>
      <w:hyperlink r:id="rId28">
        <w:r w:rsidDel="00000000" w:rsidR="00000000" w:rsidRPr="00000000">
          <w:rPr>
            <w:b w:val="0"/>
            <w:color w:val="000000"/>
            <w:u w:val="none"/>
            <w:rtl w:val="0"/>
          </w:rPr>
          <w:t xml:space="preserve">(29</w:t>
        </w:r>
      </w:hyperlink>
      <w:r w:rsidDel="00000000" w:rsidR="00000000" w:rsidRPr="00000000">
        <w:rPr>
          <w:rtl w:val="0"/>
        </w:rPr>
        <w:t xml:space="preserve">,</w:t>
      </w:r>
      <w:hyperlink r:id="rId29">
        <w:r w:rsidDel="00000000" w:rsidR="00000000" w:rsidRPr="00000000">
          <w:rPr>
            <w:b w:val="0"/>
            <w:color w:val="000000"/>
            <w:u w:val="none"/>
            <w:rtl w:val="0"/>
          </w:rPr>
          <w:t xml:space="preserve">30)</w:t>
        </w:r>
      </w:hyperlink>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t xml:space="preserve"> </w:t>
      </w:r>
    </w:p>
    <w:p w:rsidR="00000000" w:rsidDel="00000000" w:rsidP="00000000" w:rsidRDefault="00000000" w:rsidRPr="00000000" w14:paraId="000000D9">
      <w:pPr>
        <w:jc w:val="both"/>
        <w:rPr/>
      </w:pPr>
      <w:r w:rsidDel="00000000" w:rsidR="00000000" w:rsidRPr="00000000">
        <w:rPr>
          <w:rtl w:val="0"/>
        </w:rPr>
        <w:t xml:space="preserve">Al considerar la aplicabilidad de este tipo de programa en Chile, observamos que tenemos una paradoja interesante.  El país presenta una sólida experiencia en cirugía robótica; la primera intervención se realizó en 2010 por Castillo et al. </w:t>
      </w:r>
      <w:hyperlink r:id="rId30">
        <w:r w:rsidDel="00000000" w:rsidR="00000000" w:rsidRPr="00000000">
          <w:rPr>
            <w:b w:val="0"/>
            <w:color w:val="000000"/>
            <w:u w:val="none"/>
            <w:rtl w:val="0"/>
          </w:rPr>
          <w:t xml:space="preserve">(31)</w:t>
        </w:r>
      </w:hyperlink>
      <w:r w:rsidDel="00000000" w:rsidR="00000000" w:rsidRPr="00000000">
        <w:rPr>
          <w:rtl w:val="0"/>
        </w:rPr>
        <w:t xml:space="preserve"> y hasta 2021 se han efectuado más de 6.900 cirugías robóticas urológicas, con una proyección de superar las 2.000 cirugías en el año 2026.</w:t>
      </w:r>
      <w:hyperlink r:id="rId31">
        <w:r w:rsidDel="00000000" w:rsidR="00000000" w:rsidRPr="00000000">
          <w:rPr>
            <w:b w:val="0"/>
            <w:color w:val="000000"/>
            <w:u w:val="none"/>
            <w:rtl w:val="0"/>
          </w:rPr>
          <w:t xml:space="preserve">(32)</w:t>
        </w:r>
      </w:hyperlink>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 xml:space="preserve">Por otro lado en Chile se realizan trasplantes renales desde el año 1966</w:t>
      </w:r>
      <w:hyperlink r:id="rId32">
        <w:r w:rsidDel="00000000" w:rsidR="00000000" w:rsidRPr="00000000">
          <w:rPr>
            <w:b w:val="0"/>
            <w:color w:val="000000"/>
            <w:u w:val="none"/>
            <w:rtl w:val="0"/>
          </w:rPr>
          <w:t xml:space="preserve">(33)</w:t>
        </w:r>
      </w:hyperlink>
      <w:r w:rsidDel="00000000" w:rsidR="00000000" w:rsidRPr="00000000">
        <w:rPr>
          <w:rtl w:val="0"/>
        </w:rPr>
        <w:t xml:space="preserve">. Actualmente 21 hospitales y clínicas privadas realizan trasplantes renales, cubriendo la necesidad de un 17.4% de la lista de espera por un órgano de reemplazo. Tenemos una de tasa de trasplante renal que ha estado estancada durante las últimas dos décadas (23.1 donantes por millón de habitantes en 2023), con un índice de de procuramiento que es uno de los más bajos a nivel mundial (8.9 riñones por millón de habitantes)</w:t>
      </w:r>
      <w:hyperlink r:id="rId33">
        <w:r w:rsidDel="00000000" w:rsidR="00000000" w:rsidRPr="00000000">
          <w:rPr>
            <w:b w:val="0"/>
            <w:color w:val="000000"/>
            <w:u w:val="none"/>
            <w:rtl w:val="0"/>
          </w:rPr>
          <w:t xml:space="preserve">(29)</w:t>
        </w:r>
      </w:hyperlink>
      <w:hyperlink r:id="rId34">
        <w:r w:rsidDel="00000000" w:rsidR="00000000" w:rsidRPr="00000000">
          <w:rPr>
            <w:b w:val="0"/>
            <w:color w:val="000000"/>
            <w:u w:val="none"/>
            <w:rtl w:val="0"/>
          </w:rPr>
          <w:t xml:space="preserve">(5)</w:t>
        </w:r>
      </w:hyperlink>
      <w:r w:rsidDel="00000000" w:rsidR="00000000" w:rsidRPr="00000000">
        <w:rPr>
          <w:rtl w:val="0"/>
        </w:rPr>
        <w:t xml:space="preserve">.  Esto se ejemplifica en que el año 2024 el Hospital del Salvador alcanzó el récord de ser el hospital que más cirugías realizó con 60 trasplantes renales en un año. Si tenemos en cuenta estos datos y que en el país la sobrevida del injerto de donante vivo es de un 87% a 5 años</w:t>
      </w:r>
      <w:hyperlink r:id="rId35">
        <w:r w:rsidDel="00000000" w:rsidR="00000000" w:rsidRPr="00000000">
          <w:rPr>
            <w:b w:val="0"/>
            <w:color w:val="000000"/>
            <w:u w:val="none"/>
            <w:rtl w:val="0"/>
          </w:rPr>
          <w:t xml:space="preserve">(5)</w:t>
        </w:r>
      </w:hyperlink>
      <w:r w:rsidDel="00000000" w:rsidR="00000000" w:rsidRPr="00000000">
        <w:rPr>
          <w:rtl w:val="0"/>
        </w:rPr>
        <w:t xml:space="preserve"> . El RAKT representa una excelente oportunidad para potenciar los programas de donante vivo. </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En resumen, nuestra experiencia refleja un escenario realista y confirma que el RAKT puede implementarse de forma segura en centros con experiencia en trasplante renal abierto, incluso con un volumen robótico previo limitado y criterios de selección amplios. El futuro del RAKT en Chile dependerá de la formación adecuada de cirujanos, la integración de programas de simulación y mentoría, y la capacidad de generar colaboración multicéntrica que permita superar la curva de aprendizaje más rápidamente y potenciar el uso de injertos de donante vivo.</w:t>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b w:val="1"/>
        </w:rPr>
      </w:pPr>
      <w:r w:rsidDel="00000000" w:rsidR="00000000" w:rsidRPr="00000000">
        <w:rPr>
          <w:b w:val="1"/>
          <w:rtl w:val="0"/>
        </w:rPr>
        <w:t xml:space="preserve">Conclusiones</w:t>
      </w:r>
    </w:p>
    <w:p w:rsidR="00000000" w:rsidDel="00000000" w:rsidP="00000000" w:rsidRDefault="00000000" w:rsidRPr="00000000" w14:paraId="000000DF">
      <w:pPr>
        <w:jc w:val="both"/>
        <w:rPr/>
      </w:pPr>
      <w:r w:rsidDel="00000000" w:rsidR="00000000" w:rsidRPr="00000000">
        <w:rPr>
          <w:rtl w:val="0"/>
        </w:rPr>
        <w:t xml:space="preserve">La implementación del trasplante renal asistido por robot (RAKT) en nuestro centro ha demostrado ser una técnica factible y segura, incluso en un escenario con experiencia previa limitada en cirugía robótica. Nuestros resultados iniciales muestran tiempos quirúrgicos aceptables, complicaciones manejables y una función del injerto adecuada a mediano plazo.</w:t>
      </w:r>
    </w:p>
    <w:p w:rsidR="00000000" w:rsidDel="00000000" w:rsidP="00000000" w:rsidRDefault="00000000" w:rsidRPr="00000000" w14:paraId="000000E0">
      <w:pPr>
        <w:spacing w:after="240" w:before="240" w:lineRule="auto"/>
        <w:jc w:val="both"/>
        <w:rPr/>
      </w:pPr>
      <w:r w:rsidDel="00000000" w:rsidR="00000000" w:rsidRPr="00000000">
        <w:rPr>
          <w:rtl w:val="0"/>
        </w:rPr>
        <w:t xml:space="preserve">La amplitud de los criterios de inclusión empleados refleja un enfoque más cercano a la práctica clínica real, aunque probablemente contribuyó a mayores tiempos operatorios y a una tasa de complicaciones moderada. Esta experiencia sugiere que el éxito del RAKT depende no solo de la habilidad del cirujano en trasplante renal abierto, sino también de una curva de aprendizaje estructurada en cirugía robótica, apoyada por simulación, cursos especializados y mentoría.</w:t>
      </w:r>
    </w:p>
    <w:p w:rsidR="00000000" w:rsidDel="00000000" w:rsidP="00000000" w:rsidRDefault="00000000" w:rsidRPr="00000000" w14:paraId="000000E1">
      <w:pPr>
        <w:spacing w:after="240" w:before="240" w:lineRule="auto"/>
        <w:jc w:val="both"/>
        <w:rPr/>
      </w:pPr>
      <w:r w:rsidDel="00000000" w:rsidR="00000000" w:rsidRPr="00000000">
        <w:rPr>
          <w:rtl w:val="0"/>
        </w:rPr>
        <w:t xml:space="preserve">Finalmente, consideramos que el RAKT es una alternativa real a la cirugía abierta, con potencial particular en países como Chile, donde existe una amplia experiencia en cirugía robótica pero baja tasa de trasplante renal de donante vivo. Su implementación coordinada podría contribuir a potenciar este tipo de programas y mejorar el acceso a trasplante renal en nuestra región.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Bibliografía</w:t>
      </w:r>
    </w:p>
    <w:p w:rsidR="00000000" w:rsidDel="00000000" w:rsidP="00000000" w:rsidRDefault="00000000" w:rsidRPr="00000000" w14:paraId="000000E6">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Lee YC, Lin CW, Ho LC, Hung SY, Wang HK, Chang MY, et al. All-Cause Standardized Mortality Ratio in Hemodialysis and Peritoneal Dialysis Patients: A Nationwide Population-Based Cohort Study. Int J Environ Res Public Health. 2023;20(3):2347.</w:t>
        <w:br w:type="textWrapping"/>
      </w:r>
    </w:p>
    <w:p w:rsidR="00000000" w:rsidDel="00000000" w:rsidP="00000000" w:rsidRDefault="00000000" w:rsidRPr="00000000" w14:paraId="000000E7">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Tonelli M, Wiebe N, Knoll G, Bello A, Browne S, Jadhav D, et al. Systematic review: kidney transplantation compared with dialysis in clinically relevant outcomes. Am J Transplant. 2011;11(10):2093–109.</w:t>
        <w:br w:type="textWrapping"/>
      </w:r>
    </w:p>
    <w:p w:rsidR="00000000" w:rsidDel="00000000" w:rsidP="00000000" w:rsidRDefault="00000000" w:rsidRPr="00000000" w14:paraId="000000E8">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Cabrera VJ, Hansson J, Kliger AS, Finkelstein FO. Symptom Management of the Patient with CKD: The Role of Dialysis. Clin J Am Soc Nephrol. 2017;12(4):687–93.</w:t>
        <w:br w:type="textWrapping"/>
      </w:r>
    </w:p>
    <w:p w:rsidR="00000000" w:rsidDel="00000000" w:rsidP="00000000" w:rsidRDefault="00000000" w:rsidRPr="00000000" w14:paraId="000000E9">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Ethier I, Cho Y, Hawley C, Pascoe EM, Roberts MA, Semple D, et al. Multicenter registry analysis comparing survival on home hemodialysis and kidney transplant recipients in Australia and New Zealand. Nephrol Dial Transplant. 2021;36(10):1879–89.</w:t>
        <w:br w:type="textWrapping"/>
      </w:r>
    </w:p>
    <w:p w:rsidR="00000000" w:rsidDel="00000000" w:rsidP="00000000" w:rsidRDefault="00000000" w:rsidRPr="00000000" w14:paraId="000000EA">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Barría JM. Estado actual del trasplante renal en Chile a 58 años del primero; “Mi visión”. Bol Acad Chil Med [Internet]. 2025 [citado 5 sep 2025];52(1):98. Disponible en:</w:t>
      </w:r>
      <w:hyperlink r:id="rId36">
        <w:r w:rsidDel="00000000" w:rsidR="00000000" w:rsidRPr="00000000">
          <w:rPr>
            <w:rFonts w:ascii="Roboto" w:cs="Roboto" w:eastAsia="Roboto" w:hAnsi="Roboto"/>
            <w:sz w:val="21"/>
            <w:szCs w:val="21"/>
            <w:highlight w:val="white"/>
            <w:rtl w:val="0"/>
          </w:rPr>
          <w:t xml:space="preserve"> </w:t>
        </w:r>
      </w:hyperlink>
      <w:hyperlink r:id="rId37">
        <w:r w:rsidDel="00000000" w:rsidR="00000000" w:rsidRPr="00000000">
          <w:rPr>
            <w:rFonts w:ascii="Roboto" w:cs="Roboto" w:eastAsia="Roboto" w:hAnsi="Roboto"/>
            <w:color w:val="1155cc"/>
            <w:sz w:val="21"/>
            <w:szCs w:val="21"/>
            <w:highlight w:val="white"/>
            <w:u w:val="single"/>
            <w:rtl w:val="0"/>
          </w:rPr>
          <w:t xml:space="preserve">https://bolacadmed.cl/index.php/bacm/article/view/98</w:t>
          <w:br w:type="textWrapping"/>
        </w:r>
      </w:hyperlink>
      <w:r w:rsidDel="00000000" w:rsidR="00000000" w:rsidRPr="00000000">
        <w:rPr>
          <w:rtl w:val="0"/>
        </w:rPr>
      </w:r>
    </w:p>
    <w:p w:rsidR="00000000" w:rsidDel="00000000" w:rsidP="00000000" w:rsidRDefault="00000000" w:rsidRPr="00000000" w14:paraId="000000EB">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Basile G, Pecoraro A, Gallioli A, Territo A, Berquin C, Robalino J, et al. Robotic kidney transplantation. Nat Rev Urol. 2024;21(9):521–33.</w:t>
        <w:br w:type="textWrapping"/>
      </w:r>
    </w:p>
    <w:p w:rsidR="00000000" w:rsidDel="00000000" w:rsidP="00000000" w:rsidRDefault="00000000" w:rsidRPr="00000000" w14:paraId="000000EC">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Breda A, Budde K, Figueiredo A, Lledó García E, Olsburgh J, Regele H, et al. EAU Guidelines on Renal Transplantation. Arnhem: European Association of Urology; 2025.</w:t>
        <w:br w:type="textWrapping"/>
      </w:r>
    </w:p>
    <w:p w:rsidR="00000000" w:rsidDel="00000000" w:rsidP="00000000" w:rsidRDefault="00000000" w:rsidRPr="00000000" w14:paraId="000000ED">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Ortved M, Dagnæs-Hansen J, Stroomberg HV, Karas V, Rohrsted M, Sørensen SS, et al. Introducing robot-assisted kidney transplantation in a high-volume centre in Denmark: a pilot and feasibility study. J Robot Surg. 2025;19(1):23–32.</w:t>
        <w:br w:type="textWrapping"/>
      </w:r>
    </w:p>
    <w:p w:rsidR="00000000" w:rsidDel="00000000" w:rsidP="00000000" w:rsidRDefault="00000000" w:rsidRPr="00000000" w14:paraId="000000EE">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Zahid A, Ayyan M, Farooq M, Cheema HA, Shahid A, Naeem F, et al. Robotic surgery in comparison to the open and laparoscopic approaches in the field of urology: a systematic review. J Robot Surg. 2023;17(1):21–34.</w:t>
        <w:br w:type="textWrapping"/>
      </w:r>
    </w:p>
    <w:p w:rsidR="00000000" w:rsidDel="00000000" w:rsidP="00000000" w:rsidRDefault="00000000" w:rsidRPr="00000000" w14:paraId="000000EF">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Di Maida F, Mari A, Morselli S, Campi R, Sforza S, Cocci A, et al. Robotic treatment for urinary tract endometriosis: preliminary results and surgical details in a high-volume single-Institutional cohort study. Surg Endosc. 2020;34(7):2894–902.</w:t>
        <w:br w:type="textWrapping"/>
      </w:r>
    </w:p>
    <w:p w:rsidR="00000000" w:rsidDel="00000000" w:rsidP="00000000" w:rsidRDefault="00000000" w:rsidRPr="00000000" w14:paraId="000000F0">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Ascanio F, Rosado J, Sánchez CL. Robotic Lung Transplantation: A New Horizon in Thoracic Surgery. Open Respir Arch. 2024;6(Suppl 2):100–7.</w:t>
        <w:br w:type="textWrapping"/>
      </w:r>
    </w:p>
    <w:p w:rsidR="00000000" w:rsidDel="00000000" w:rsidP="00000000" w:rsidRDefault="00000000" w:rsidRPr="00000000" w14:paraId="000000F1">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Mantica G, Chierigo F, Białek Ł, Madec FX, Frankiewicz M, Verla W, et al. The use of robotic surgery for the management of urethral strictures and bladder neck contractures: A systematic review. Actas Urol Esp. 2025;49(1):12–20.</w:t>
        <w:br w:type="textWrapping"/>
      </w:r>
    </w:p>
    <w:p w:rsidR="00000000" w:rsidDel="00000000" w:rsidP="00000000" w:rsidRDefault="00000000" w:rsidRPr="00000000" w14:paraId="000000F2">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Rosales A, Salvador JT, Urdaneta G, Patiño D, Montlleó M, Esquena S, et al. Laparoscopic kidney transplantation. Eur Urol. 2010;57(1):164–71.</w:t>
        <w:br w:type="textWrapping"/>
      </w:r>
    </w:p>
    <w:p w:rsidR="00000000" w:rsidDel="00000000" w:rsidP="00000000" w:rsidRDefault="00000000" w:rsidRPr="00000000" w14:paraId="000000F3">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Hoznek A, Zaki SK, Samadi DB, Salomon L, Lobontiu A, Lang P, et al. Robotic assisted kidney transplantation: an initial experience. J Urol. 2002;167(4):1604–6.</w:t>
        <w:br w:type="textWrapping"/>
      </w:r>
    </w:p>
    <w:p w:rsidR="00000000" w:rsidDel="00000000" w:rsidP="00000000" w:rsidRDefault="00000000" w:rsidRPr="00000000" w14:paraId="000000F4">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Giulianotti P, Gorodner V, Sbrana F, Tzvetanov I, Jeon H, Bianco F, et al. Robotic transabdominal kidney transplantation in a morbidly obese patient. Am J Transplant. 2010;10(6):1478–82.</w:t>
        <w:br w:type="textWrapping"/>
      </w:r>
    </w:p>
    <w:p w:rsidR="00000000" w:rsidDel="00000000" w:rsidP="00000000" w:rsidRDefault="00000000" w:rsidRPr="00000000" w14:paraId="000000F5">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Menon M, Sood A, Bhandari M, Kher V, Ghosh P, Abaza R, et al. Robotic kidney transplantation with regional hypothermia: a step-by-step description of the Vattikuti Urology Institute-Medanta technique (IDEAL phase 2a). Eur Urol. 2014;65(5):991–1000.</w:t>
        <w:br w:type="textWrapping"/>
      </w:r>
    </w:p>
    <w:p w:rsidR="00000000" w:rsidDel="00000000" w:rsidP="00000000" w:rsidRDefault="00000000" w:rsidRPr="00000000" w14:paraId="000000F6">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Boggi U, Vistoli F, Signori S, D’Imporzano S, Amorese G, Consani G, et al. Robotic renal transplantation: first European case. Transpl Int. 2011;24(2):213–8.</w:t>
        <w:br w:type="textWrapping"/>
      </w:r>
    </w:p>
    <w:p w:rsidR="00000000" w:rsidDel="00000000" w:rsidP="00000000" w:rsidRDefault="00000000" w:rsidRPr="00000000" w14:paraId="000000F7">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Doumerc N, Roumiguié M, Rischmann P, Sallusto F. Totally robotic approach with transvaginal insertion for kidney transplantation. Eur Urol. 2015;68(6):1138–42.</w:t>
        <w:br w:type="textWrapping"/>
      </w:r>
    </w:p>
    <w:p w:rsidR="00000000" w:rsidDel="00000000" w:rsidP="00000000" w:rsidRDefault="00000000" w:rsidRPr="00000000" w14:paraId="000000F8">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Breda A, Territo A, Gausa L, Tuğcu V, Alcaraz A, Musquera M, et al. Robot-assisted kidney transplantation: the European experience. Eur Urol. 2018;73(2):273–81.</w:t>
        <w:br w:type="textWrapping"/>
      </w:r>
    </w:p>
    <w:p w:rsidR="00000000" w:rsidDel="00000000" w:rsidP="00000000" w:rsidRDefault="00000000" w:rsidRPr="00000000" w14:paraId="000000F9">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Territo A, Afferi L, Musquera M, Gómez Sancha FJ, Pecoraro A, Campi R, et al. Robot-assisted kidney transplantation: the 8-year European experience. Eur Urol. 2025;87(4):509–19.</w:t>
        <w:br w:type="textWrapping"/>
      </w:r>
    </w:p>
    <w:p w:rsidR="00000000" w:rsidDel="00000000" w:rsidP="00000000" w:rsidRDefault="00000000" w:rsidRPr="00000000" w14:paraId="000000FA">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García-Baquero R, Fernández-Ávila CM, Salvatierra PC, González Álvarez TM, López Carvajal MJ, Álvarez OFJ. Living-donor renal transplant: state of the art. Arch Esp Urol. 2021;74(10):903–13.</w:t>
        <w:br w:type="textWrapping"/>
      </w:r>
    </w:p>
    <w:p w:rsidR="00000000" w:rsidDel="00000000" w:rsidP="00000000" w:rsidRDefault="00000000" w:rsidRPr="00000000" w14:paraId="000000FB">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Breda A, Territo A, Gausa L, Rodríguez-Faba O, Caffaratti J, de León JP, et al. Robotic kidney transplantation: one year after the beginning. World J Urol. 2017;35(10):1507–14.</w:t>
        <w:br w:type="textWrapping"/>
      </w:r>
    </w:p>
    <w:p w:rsidR="00000000" w:rsidDel="00000000" w:rsidP="00000000" w:rsidRDefault="00000000" w:rsidRPr="00000000" w14:paraId="000000FC">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Kim HJ, Jeong W, Lee J, Yang SJ, Lee JS, Na JC, et al. Successful robotic kidney transplantation for surgeons with no experience in minimally invasive surgery: a single institution experience. Int J Surg. 2023;110(3):1586–92.</w:t>
        <w:br w:type="textWrapping"/>
      </w:r>
    </w:p>
    <w:p w:rsidR="00000000" w:rsidDel="00000000" w:rsidP="00000000" w:rsidRDefault="00000000" w:rsidRPr="00000000" w14:paraId="000000FD">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Tuğcu V, Şener NC, Şahin S, Yavuzsan AH, Akbay FG, Apaydın S. Robot-assisted kidney transplantation: comparison of the first 40 cases of open vs robot-assisted transplantations by a single surgeon. BJU Int. 2018;121(2):275–81.</w:t>
        <w:br w:type="textWrapping"/>
      </w:r>
    </w:p>
    <w:p w:rsidR="00000000" w:rsidDel="00000000" w:rsidP="00000000" w:rsidRDefault="00000000" w:rsidRPr="00000000" w14:paraId="000000FE">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Menon M, Abaza R, Sood A, Ahlawat R, Ghani KR, Jeong W, et al. Robotic kidney transplantation with regional hypothermia: evolution of a novel procedure utilizing the IDEAL guidelines (IDEAL phase 0 and 1). Eur Urol. 2014;65(5):973–80.</w:t>
        <w:br w:type="textWrapping"/>
      </w:r>
    </w:p>
    <w:p w:rsidR="00000000" w:rsidDel="00000000" w:rsidP="00000000" w:rsidRDefault="00000000" w:rsidRPr="00000000" w14:paraId="000000FF">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Vignolini G, Campi R, Sessa F, Greco I, Larti A, Giancane S, et al. Development of a robot-assisted kidney transplantation programme from deceased donors in a referral academic centre: technical nuances and preliminary results. BJU Int. 2019;123(3):501–7.</w:t>
        <w:br w:type="textWrapping"/>
      </w:r>
    </w:p>
    <w:p w:rsidR="00000000" w:rsidDel="00000000" w:rsidP="00000000" w:rsidRDefault="00000000" w:rsidRPr="00000000" w14:paraId="00000100">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Outmani L, IJzermans JNM, Minnee RC. Surgical learning curve in kidney transplantation: a systematic review and meta-analysis. Transplant Rev (Orlando). 2020;34(4):100562.</w:t>
        <w:br w:type="textWrapping"/>
      </w:r>
    </w:p>
    <w:p w:rsidR="00000000" w:rsidDel="00000000" w:rsidP="00000000" w:rsidRDefault="00000000" w:rsidRPr="00000000" w14:paraId="00000101">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Campi R, Pecoraro A, Vignolini G, Spatafora P, Sebastianelli A, Sessa F, et al. The first entirely 3D-printed training model for robot-assisted kidney transplantation: the RAKT box. Eur Urol Open Sci. 2023;53:22–9.</w:t>
        <w:br w:type="textWrapping"/>
      </w:r>
    </w:p>
    <w:p w:rsidR="00000000" w:rsidDel="00000000" w:rsidP="00000000" w:rsidRDefault="00000000" w:rsidRPr="00000000" w14:paraId="00000102">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Organización Nacional de Trasplantes (ONT). Balance de actividad 2024 [Internet]. Madrid: Ministerio de Sanidad; 2025 [citado 6 sep 2025]. Disponible en:</w:t>
      </w:r>
      <w:hyperlink r:id="rId38">
        <w:r w:rsidDel="00000000" w:rsidR="00000000" w:rsidRPr="00000000">
          <w:rPr>
            <w:rFonts w:ascii="Roboto" w:cs="Roboto" w:eastAsia="Roboto" w:hAnsi="Roboto"/>
            <w:sz w:val="21"/>
            <w:szCs w:val="21"/>
            <w:highlight w:val="white"/>
            <w:rtl w:val="0"/>
          </w:rPr>
          <w:t xml:space="preserve"> </w:t>
        </w:r>
      </w:hyperlink>
      <w:hyperlink r:id="rId39">
        <w:r w:rsidDel="00000000" w:rsidR="00000000" w:rsidRPr="00000000">
          <w:rPr>
            <w:rFonts w:ascii="Roboto" w:cs="Roboto" w:eastAsia="Roboto" w:hAnsi="Roboto"/>
            <w:color w:val="1155cc"/>
            <w:sz w:val="21"/>
            <w:szCs w:val="21"/>
            <w:highlight w:val="white"/>
            <w:u w:val="single"/>
            <w:rtl w:val="0"/>
          </w:rPr>
          <w:t xml:space="preserve">https://www.ont.es/wp-content/uploads/2025/01/BALANCE-ONT-2024-PRENSA-completo.pdf</w:t>
          <w:br w:type="textWrapping"/>
        </w:r>
      </w:hyperlink>
      <w:r w:rsidDel="00000000" w:rsidR="00000000" w:rsidRPr="00000000">
        <w:rPr>
          <w:rtl w:val="0"/>
        </w:rPr>
      </w:r>
    </w:p>
    <w:p w:rsidR="00000000" w:rsidDel="00000000" w:rsidP="00000000" w:rsidRDefault="00000000" w:rsidRPr="00000000" w14:paraId="00000103">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Diario de Cádiz. Cádiz registra 29 donaciones de órganos y 13 de tejidos en los primeros cinco meses de 2025. Diario de Cádiz [Internet]. 2025 jun 3 [citado 6 sep 2025]; Disponible en:</w:t>
      </w:r>
      <w:hyperlink r:id="rId40">
        <w:r w:rsidDel="00000000" w:rsidR="00000000" w:rsidRPr="00000000">
          <w:rPr>
            <w:rFonts w:ascii="Roboto" w:cs="Roboto" w:eastAsia="Roboto" w:hAnsi="Roboto"/>
            <w:sz w:val="21"/>
            <w:szCs w:val="21"/>
            <w:highlight w:val="white"/>
            <w:rtl w:val="0"/>
          </w:rPr>
          <w:t xml:space="preserve"> </w:t>
        </w:r>
      </w:hyperlink>
      <w:hyperlink r:id="rId41">
        <w:r w:rsidDel="00000000" w:rsidR="00000000" w:rsidRPr="00000000">
          <w:rPr>
            <w:rFonts w:ascii="Roboto" w:cs="Roboto" w:eastAsia="Roboto" w:hAnsi="Roboto"/>
            <w:color w:val="1155cc"/>
            <w:sz w:val="21"/>
            <w:szCs w:val="21"/>
            <w:highlight w:val="white"/>
            <w:u w:val="single"/>
            <w:rtl w:val="0"/>
          </w:rPr>
          <w:t xml:space="preserve">https://www.diariodecadiz.es/noticias-provincia-cadiz/cadiz-registra-donaciones-organos-tejidos-primeros-meses-2025_0_2004063043.html</w:t>
          <w:br w:type="textWrapping"/>
        </w:r>
      </w:hyperlink>
      <w:r w:rsidDel="00000000" w:rsidR="00000000" w:rsidRPr="00000000">
        <w:rPr>
          <w:rtl w:val="0"/>
        </w:rPr>
      </w:r>
    </w:p>
    <w:p w:rsidR="00000000" w:rsidDel="00000000" w:rsidP="00000000" w:rsidRDefault="00000000" w:rsidRPr="00000000" w14:paraId="00000104">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Castillo O, Vidal I, Sepúlveda F. Nefrectomía simple por puerto único asistida por robot da Vinci. Rev Chil Cir. 2011;63(5):504–7.</w:t>
        <w:br w:type="textWrapping"/>
      </w:r>
    </w:p>
    <w:p w:rsidR="00000000" w:rsidDel="00000000" w:rsidP="00000000" w:rsidRDefault="00000000" w:rsidRPr="00000000" w14:paraId="00000105">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Rivero-Moreno YJ, Redden-Chirinos S, Paz-Castillo-López M, Bustamante-Zúñiga K. Redefiniendo paradigmas quirúrgicos: una década de evolución de la cirugía robótica en Chile. Rev Cir. 2024;76(4):312–9.</w:t>
        <w:br w:type="textWrapping"/>
      </w:r>
    </w:p>
    <w:p w:rsidR="00000000" w:rsidDel="00000000" w:rsidP="00000000" w:rsidRDefault="00000000" w:rsidRPr="00000000" w14:paraId="00000106">
      <w:pPr>
        <w:numPr>
          <w:ilvl w:val="0"/>
          <w:numId w:val="7"/>
        </w:numPr>
        <w:ind w:left="720" w:hanging="360"/>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Allende J, Diaz H, Kappes J, Lazcano F, Morgado F, Murray G, et al. Renal homologous transplantation. Rev Med Chil. 1967;95(8):467–74.</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diariodecadiz.es/noticias-provincia-cadiz/cadiz-registra-donaciones-organos-tejidos-primeros-meses-2025_0_2004063043.html?utm_source=chatgpt.com" TargetMode="External"/><Relationship Id="rId20" Type="http://schemas.openxmlformats.org/officeDocument/2006/relationships/hyperlink" Target="https://paperpile.com/c/Xpiqlg/KXVU" TargetMode="External"/><Relationship Id="rId41" Type="http://schemas.openxmlformats.org/officeDocument/2006/relationships/hyperlink" Target="https://www.diariodecadiz.es/noticias-provincia-cadiz/cadiz-registra-donaciones-organos-tejidos-primeros-meses-2025_0_2004063043.html?utm_source=chatgpt.com" TargetMode="External"/><Relationship Id="rId22" Type="http://schemas.openxmlformats.org/officeDocument/2006/relationships/hyperlink" Target="https://paperpile.com/c/Xpiqlg/WcEO" TargetMode="External"/><Relationship Id="rId21" Type="http://schemas.openxmlformats.org/officeDocument/2006/relationships/hyperlink" Target="https://paperpile.com/c/Xpiqlg/k60L" TargetMode="External"/><Relationship Id="rId24" Type="http://schemas.openxmlformats.org/officeDocument/2006/relationships/hyperlink" Target="https://paperpile.com/c/Xpiqlg/zAjB+jJbE" TargetMode="External"/><Relationship Id="rId23" Type="http://schemas.openxmlformats.org/officeDocument/2006/relationships/hyperlink" Target="https://paperpile.com/c/Xpiqlg/zAj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Xpiqlg/BTN0" TargetMode="External"/><Relationship Id="rId26" Type="http://schemas.openxmlformats.org/officeDocument/2006/relationships/hyperlink" Target="https://paperpile.com/c/Xpiqlg/TVD8" TargetMode="External"/><Relationship Id="rId25" Type="http://schemas.openxmlformats.org/officeDocument/2006/relationships/hyperlink" Target="https://paperpile.com/c/Xpiqlg/jJbE" TargetMode="External"/><Relationship Id="rId28" Type="http://schemas.openxmlformats.org/officeDocument/2006/relationships/hyperlink" Target="https://paperpile.com/c/Xpiqlg/mGX9" TargetMode="External"/><Relationship Id="rId27" Type="http://schemas.openxmlformats.org/officeDocument/2006/relationships/hyperlink" Target="https://paperpile.com/c/Xpiqlg/mQnz" TargetMode="External"/><Relationship Id="rId5" Type="http://schemas.openxmlformats.org/officeDocument/2006/relationships/styles" Target="styles.xml"/><Relationship Id="rId6" Type="http://schemas.openxmlformats.org/officeDocument/2006/relationships/hyperlink" Target="https://paperpile.com/c/Xpiqlg/Wufv" TargetMode="External"/><Relationship Id="rId29" Type="http://schemas.openxmlformats.org/officeDocument/2006/relationships/hyperlink" Target="https://paperpile.com/c/Xpiqlg/LMLf" TargetMode="External"/><Relationship Id="rId7" Type="http://schemas.openxmlformats.org/officeDocument/2006/relationships/hyperlink" Target="https://paperpile.com/c/Xpiqlg/TVD8" TargetMode="External"/><Relationship Id="rId8" Type="http://schemas.openxmlformats.org/officeDocument/2006/relationships/hyperlink" Target="https://paperpile.com/c/Xpiqlg/TVD8" TargetMode="External"/><Relationship Id="rId31" Type="http://schemas.openxmlformats.org/officeDocument/2006/relationships/hyperlink" Target="https://paperpile.com/c/Xpiqlg/v6rR" TargetMode="External"/><Relationship Id="rId30" Type="http://schemas.openxmlformats.org/officeDocument/2006/relationships/hyperlink" Target="https://paperpile.com/c/Xpiqlg/7bej" TargetMode="External"/><Relationship Id="rId11" Type="http://schemas.openxmlformats.org/officeDocument/2006/relationships/hyperlink" Target="https://paperpile.com/c/Xpiqlg/TVD8" TargetMode="External"/><Relationship Id="rId33" Type="http://schemas.openxmlformats.org/officeDocument/2006/relationships/hyperlink" Target="https://paperpile.com/c/Xpiqlg/mGX9" TargetMode="External"/><Relationship Id="rId10" Type="http://schemas.openxmlformats.org/officeDocument/2006/relationships/hyperlink" Target="https://paperpile.com/c/Xpiqlg/TVD8" TargetMode="External"/><Relationship Id="rId32" Type="http://schemas.openxmlformats.org/officeDocument/2006/relationships/hyperlink" Target="https://paperpile.com/c/Xpiqlg/9joa" TargetMode="External"/><Relationship Id="rId13" Type="http://schemas.openxmlformats.org/officeDocument/2006/relationships/hyperlink" Target="https://paperpile.com/c/Xpiqlg/yVgI" TargetMode="External"/><Relationship Id="rId35" Type="http://schemas.openxmlformats.org/officeDocument/2006/relationships/hyperlink" Target="https://paperpile.com/c/Xpiqlg/cjTs" TargetMode="External"/><Relationship Id="rId12" Type="http://schemas.openxmlformats.org/officeDocument/2006/relationships/hyperlink" Target="https://paperpile.com/c/Xpiqlg/TJch" TargetMode="External"/><Relationship Id="rId34" Type="http://schemas.openxmlformats.org/officeDocument/2006/relationships/hyperlink" Target="https://paperpile.com/c/Xpiqlg/cjTs" TargetMode="External"/><Relationship Id="rId15" Type="http://schemas.openxmlformats.org/officeDocument/2006/relationships/hyperlink" Target="https://paperpile.com/c/Xpiqlg/0aEa" TargetMode="External"/><Relationship Id="rId37" Type="http://schemas.openxmlformats.org/officeDocument/2006/relationships/hyperlink" Target="https://bolacadmed.cl/index.php/bacm/article/view/98" TargetMode="External"/><Relationship Id="rId14" Type="http://schemas.openxmlformats.org/officeDocument/2006/relationships/hyperlink" Target="https://paperpile.com/c/Xpiqlg/9OPz" TargetMode="External"/><Relationship Id="rId36" Type="http://schemas.openxmlformats.org/officeDocument/2006/relationships/hyperlink" Target="https://bolacadmed.cl/index.php/bacm/article/view/98" TargetMode="External"/><Relationship Id="rId17" Type="http://schemas.openxmlformats.org/officeDocument/2006/relationships/hyperlink" Target="https://paperpile.com/c/Xpiqlg/yHI5" TargetMode="External"/><Relationship Id="rId39" Type="http://schemas.openxmlformats.org/officeDocument/2006/relationships/hyperlink" Target="https://www.ont.es/wp-content/uploads/2025/01/BALANCE-ONT-2024-PRENSA-completo.pdf?utm_source=chatgpt.com" TargetMode="External"/><Relationship Id="rId16" Type="http://schemas.openxmlformats.org/officeDocument/2006/relationships/hyperlink" Target="https://paperpile.com/c/Xpiqlg/FzDz" TargetMode="External"/><Relationship Id="rId38" Type="http://schemas.openxmlformats.org/officeDocument/2006/relationships/hyperlink" Target="https://www.ont.es/wp-content/uploads/2025/01/BALANCE-ONT-2024-PRENSA-completo.pdf?utm_source=chatgpt.com" TargetMode="External"/><Relationship Id="rId19" Type="http://schemas.openxmlformats.org/officeDocument/2006/relationships/hyperlink" Target="https://paperpile.com/c/Xpiqlg/9OPz" TargetMode="External"/><Relationship Id="rId18" Type="http://schemas.openxmlformats.org/officeDocument/2006/relationships/hyperlink" Target="https://paperpile.com/c/Xpiqlg/mQ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